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4B0B88" w:rsidRDefault="00B43124" w:rsidP="008D4DBB">
      <w:pPr>
        <w:suppressLineNumbers/>
        <w:ind w:left="-483"/>
        <w:rPr>
          <w:rtl/>
        </w:rPr>
      </w:pPr>
      <w:sdt>
        <w:sdtPr>
          <w:rPr>
            <w:rtl/>
          </w:rPr>
          <w:alias w:val="1170"/>
          <w:tag w:val="1170"/>
          <w:id w:val="1066377040"/>
          <w:text w:multiLine="1"/>
        </w:sdtPr>
        <w:sdtEndPr/>
        <w:sdtContent>
          <w:proofErr w:type="spellStart"/>
          <w:r w:rsidR="008D4DBB">
            <w:rPr>
              <w:b/>
              <w:bCs/>
              <w:noProof w:val="0"/>
              <w:sz w:val="26"/>
              <w:szCs w:val="26"/>
              <w:rtl/>
            </w:rPr>
            <w:t>רמ"ש</w:t>
          </w:r>
          <w:proofErr w:type="spellEnd"/>
        </w:sdtContent>
      </w:sdt>
      <w:r w:rsidR="008D4DBB">
        <w:rPr>
          <w:b/>
          <w:bCs/>
          <w:noProof w:val="0"/>
          <w:sz w:val="26"/>
          <w:szCs w:val="26"/>
          <w:rtl/>
        </w:rPr>
        <w:t xml:space="preserve"> </w:t>
      </w:r>
      <w:sdt>
        <w:sdtPr>
          <w:rPr>
            <w:rtl/>
          </w:rPr>
          <w:alias w:val="1171"/>
          <w:tag w:val="1171"/>
          <w:id w:val="257034231"/>
          <w:text w:multiLine="1"/>
        </w:sdtPr>
        <w:sdtEndPr/>
        <w:sdtContent>
          <w:r w:rsidR="008D4DBB">
            <w:rPr>
              <w:b/>
              <w:bCs/>
              <w:noProof w:val="0"/>
              <w:sz w:val="26"/>
              <w:szCs w:val="26"/>
              <w:rtl/>
            </w:rPr>
            <w:t>46026-10-23</w:t>
          </w:r>
        </w:sdtContent>
      </w:sdt>
      <w:r w:rsidR="008D4DBB">
        <w:rPr>
          <w:b/>
          <w:bCs/>
          <w:noProof w:val="0"/>
          <w:sz w:val="26"/>
          <w:szCs w:val="26"/>
          <w:rtl/>
        </w:rPr>
        <w:t xml:space="preserve"> </w:t>
      </w:r>
      <w:sdt>
        <w:sdtPr>
          <w:rPr>
            <w:b/>
            <w:bCs/>
            <w:noProof w:val="0"/>
            <w:sz w:val="26"/>
            <w:szCs w:val="26"/>
            <w:rtl/>
          </w:rPr>
          <w:alias w:val="3154"/>
          <w:tag w:val="3154"/>
          <w:id w:val="-1714497037"/>
          <w:placeholder>
            <w:docPart w:val="F6BC63E9609A4F62B1EC3206BF1A5894"/>
          </w:placeholder>
          <w:text w:multiLine="1"/>
        </w:sdtPr>
        <w:sdtEndPr/>
        <w:sdtContent>
          <w:r w:rsidR="008D4DBB">
            <w:rPr>
              <w:rFonts w:hint="cs"/>
              <w:b/>
              <w:bCs/>
              <w:noProof w:val="0"/>
              <w:sz w:val="26"/>
              <w:szCs w:val="26"/>
              <w:rtl/>
            </w:rPr>
            <w:t xml:space="preserve">פלונים </w:t>
          </w:r>
          <w:r w:rsidR="008D4DBB">
            <w:rPr>
              <w:b/>
              <w:bCs/>
              <w:noProof w:val="0"/>
              <w:sz w:val="26"/>
              <w:szCs w:val="26"/>
              <w:rtl/>
            </w:rPr>
            <w:t xml:space="preserve">נ' </w:t>
          </w:r>
          <w:r w:rsidR="008D4DBB">
            <w:rPr>
              <w:rFonts w:hint="cs"/>
              <w:b/>
              <w:bCs/>
              <w:noProof w:val="0"/>
              <w:sz w:val="26"/>
              <w:szCs w:val="26"/>
              <w:rtl/>
            </w:rPr>
            <w:t>אלמונים</w:t>
          </w:r>
        </w:sdtContent>
      </w:sdt>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06"/>
        <w:gridCol w:w="2418"/>
        <w:gridCol w:w="5413"/>
      </w:tblGrid>
      <w:tr w:rsidR="004B0B88" w:rsidTr="00ED0D05">
        <w:trPr>
          <w:jc w:val="center"/>
        </w:trPr>
        <w:tc>
          <w:tcPr>
            <w:tcW w:w="743" w:type="dxa"/>
          </w:tcPr>
          <w:p w:rsidR="008D4DBB" w:rsidRDefault="008D4DBB" w:rsidP="00ED0D05">
            <w:pPr>
              <w:suppressLineNumbers/>
              <w:jc w:val="both"/>
              <w:rPr>
                <w:rFonts w:ascii="Arial" w:hAnsi="Arial"/>
                <w:b/>
                <w:bCs/>
                <w:sz w:val="26"/>
                <w:szCs w:val="26"/>
                <w:rtl/>
              </w:rPr>
            </w:pPr>
          </w:p>
          <w:p w:rsidR="008D4DBB" w:rsidRDefault="008D4DBB" w:rsidP="00ED0D05">
            <w:pPr>
              <w:suppressLineNumbers/>
              <w:jc w:val="both"/>
              <w:rPr>
                <w:rFonts w:ascii="Arial" w:hAnsi="Arial"/>
                <w:b/>
                <w:bCs/>
                <w:sz w:val="26"/>
                <w:szCs w:val="26"/>
                <w:rtl/>
              </w:rPr>
            </w:pPr>
          </w:p>
          <w:p w:rsidR="004B0B88" w:rsidRPr="008A59EE" w:rsidRDefault="004B0B88" w:rsidP="00ED0D05">
            <w:pPr>
              <w:suppressLineNumbers/>
              <w:jc w:val="both"/>
              <w:rPr>
                <w:rFonts w:ascii="Arial" w:hAnsi="Arial"/>
                <w:b/>
                <w:bCs/>
                <w:sz w:val="26"/>
                <w:szCs w:val="26"/>
                <w:rtl/>
              </w:rPr>
            </w:pPr>
            <w:r>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8D4DBB" w:rsidRDefault="008D4DBB" w:rsidP="00ED0D05">
            <w:pPr>
              <w:suppressLineNumbers/>
              <w:rPr>
                <w:rFonts w:ascii="Arial" w:hAnsi="Arial"/>
                <w:b/>
                <w:bCs/>
                <w:sz w:val="26"/>
                <w:szCs w:val="26"/>
                <w:rtl/>
              </w:rPr>
            </w:pPr>
          </w:p>
          <w:p w:rsidR="008D4DBB" w:rsidRDefault="008D4DBB" w:rsidP="00ED0D05">
            <w:pPr>
              <w:suppressLineNumbers/>
              <w:rPr>
                <w:rFonts w:ascii="Arial" w:hAnsi="Arial"/>
                <w:b/>
                <w:bCs/>
                <w:sz w:val="26"/>
                <w:szCs w:val="26"/>
                <w:rtl/>
              </w:rPr>
            </w:pPr>
          </w:p>
          <w:p w:rsidR="004B0B88" w:rsidRPr="008A59EE" w:rsidRDefault="004B0B88" w:rsidP="00ED0D05">
            <w:pPr>
              <w:suppressLineNumbers/>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4B0B88" w:rsidRPr="008A59EE" w:rsidRDefault="004B0B88" w:rsidP="00ED0D05">
            <w:pPr>
              <w:suppressLineNumbers/>
              <w:rPr>
                <w:sz w:val="26"/>
                <w:szCs w:val="26"/>
              </w:rPr>
            </w:pPr>
          </w:p>
        </w:tc>
      </w:tr>
      <w:tr w:rsidR="004B0B88" w:rsidTr="00ED0D05">
        <w:trPr>
          <w:jc w:val="center"/>
        </w:trPr>
        <w:tc>
          <w:tcPr>
            <w:tcW w:w="3249" w:type="dxa"/>
            <w:gridSpan w:val="2"/>
          </w:tcPr>
          <w:p w:rsidR="004B0B88" w:rsidRDefault="004B0B88" w:rsidP="00ED0D05">
            <w:pPr>
              <w:suppressLineNumbers/>
              <w:rPr>
                <w:rtl/>
              </w:rPr>
            </w:pPr>
          </w:p>
          <w:sdt>
            <w:sdtPr>
              <w:rPr>
                <w:rtl/>
              </w:rPr>
              <w:alias w:val="1180"/>
              <w:tag w:val="1180"/>
              <w:id w:val="637458750"/>
              <w:text w:multiLine="1"/>
            </w:sdtPr>
            <w:sdtEndPr/>
            <w:sdtContent>
              <w:p w:rsidR="004B0B88" w:rsidRDefault="004B0B88" w:rsidP="00ED0D05">
                <w:pPr>
                  <w:suppressLineNumbers/>
                  <w:rPr>
                    <w:rFonts w:ascii="Arial" w:hAnsi="Arial"/>
                    <w:b/>
                    <w:bCs/>
                    <w:noProof w:val="0"/>
                    <w:sz w:val="26"/>
                    <w:szCs w:val="26"/>
                    <w:rtl/>
                  </w:rPr>
                </w:pPr>
                <w:r>
                  <w:rPr>
                    <w:rFonts w:ascii="Arial" w:hAnsi="Arial" w:hint="cs"/>
                    <w:b/>
                    <w:bCs/>
                    <w:noProof w:val="0"/>
                    <w:sz w:val="26"/>
                    <w:szCs w:val="26"/>
                    <w:rtl/>
                  </w:rPr>
                  <w:t>המבקשים</w:t>
                </w:r>
              </w:p>
            </w:sdtContent>
          </w:sdt>
        </w:tc>
        <w:tc>
          <w:tcPr>
            <w:tcW w:w="5571" w:type="dxa"/>
          </w:tcPr>
          <w:p w:rsidR="004B0B88" w:rsidRDefault="004B0B88" w:rsidP="00ED0D05">
            <w:pPr>
              <w:suppressLineNumbers/>
              <w:rPr>
                <w:rtl/>
              </w:rPr>
            </w:pPr>
          </w:p>
          <w:p w:rsidR="004B0B88" w:rsidRDefault="00B43124" w:rsidP="008D4DBB">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B0B88">
                  <w:rPr>
                    <w:rFonts w:ascii="Arial" w:hAnsi="Arial"/>
                    <w:b/>
                    <w:bCs/>
                    <w:noProof w:val="0"/>
                    <w:sz w:val="26"/>
                    <w:szCs w:val="26"/>
                    <w:rtl/>
                  </w:rPr>
                  <w:t>1</w:t>
                </w:r>
              </w:sdtContent>
            </w:sdt>
            <w:r w:rsidR="004B0B88" w:rsidRPr="00CD516B">
              <w:rPr>
                <w:rFonts w:ascii="Arial" w:hAnsi="Arial"/>
                <w:b/>
                <w:bCs/>
                <w:noProof w:val="0"/>
                <w:sz w:val="26"/>
                <w:szCs w:val="26"/>
                <w:rtl/>
              </w:rPr>
              <w:t>.</w:t>
            </w:r>
            <w:r w:rsidR="004B0B88"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1166218717"/>
                <w:placeholder>
                  <w:docPart w:val="A784E4FD75D0412FBFA365A438716C76"/>
                </w:placeholder>
                <w:text w:multiLine="1"/>
              </w:sdtPr>
              <w:sdtEndPr/>
              <w:sdtContent>
                <w:r w:rsidR="004B0B88">
                  <w:rPr>
                    <w:rFonts w:ascii="Arial" w:hAnsi="Arial" w:hint="cs"/>
                    <w:b/>
                    <w:bCs/>
                    <w:noProof w:val="0"/>
                    <w:sz w:val="26"/>
                    <w:szCs w:val="26"/>
                    <w:rtl/>
                  </w:rPr>
                  <w:t xml:space="preserve">עו"ד </w:t>
                </w:r>
                <w:r w:rsidR="008D4DBB">
                  <w:rPr>
                    <w:rFonts w:ascii="Arial" w:hAnsi="Arial" w:hint="cs"/>
                    <w:b/>
                    <w:bCs/>
                    <w:noProof w:val="0"/>
                    <w:sz w:val="26"/>
                    <w:szCs w:val="26"/>
                    <w:rtl/>
                  </w:rPr>
                  <w:t>...</w:t>
                </w:r>
                <w:r w:rsidR="004B0B88">
                  <w:rPr>
                    <w:rFonts w:ascii="Arial" w:hAnsi="Arial" w:hint="cs"/>
                    <w:b/>
                    <w:bCs/>
                    <w:noProof w:val="0"/>
                    <w:sz w:val="26"/>
                    <w:szCs w:val="26"/>
                    <w:rtl/>
                  </w:rPr>
                  <w:t xml:space="preserve"> (מנהל עיזבון)</w:t>
                </w:r>
              </w:sdtContent>
            </w:sdt>
          </w:p>
          <w:p w:rsidR="004B0B88" w:rsidRDefault="00B43124" w:rsidP="008D4DBB">
            <w:pPr>
              <w:suppressLineNumbers/>
              <w:rPr>
                <w:b/>
                <w:bCs/>
                <w:noProof w:val="0"/>
                <w:sz w:val="26"/>
                <w:szCs w:val="26"/>
              </w:rPr>
            </w:pPr>
            <w:sdt>
              <w:sdtPr>
                <w:rPr>
                  <w:rFonts w:ascii="Arial" w:hAnsi="Arial"/>
                  <w:b/>
                  <w:bCs/>
                  <w:noProof w:val="0"/>
                  <w:sz w:val="26"/>
                  <w:szCs w:val="26"/>
                  <w:rtl/>
                </w:rPr>
                <w:alias w:val="1462"/>
                <w:tag w:val="1462"/>
                <w:id w:val="-565568205"/>
                <w:text w:multiLine="1"/>
              </w:sdtPr>
              <w:sdtEndPr/>
              <w:sdtContent>
                <w:r w:rsidR="004B0B88">
                  <w:rPr>
                    <w:rFonts w:ascii="Arial" w:hAnsi="Arial"/>
                    <w:b/>
                    <w:bCs/>
                    <w:noProof w:val="0"/>
                    <w:sz w:val="26"/>
                    <w:szCs w:val="26"/>
                    <w:rtl/>
                  </w:rPr>
                  <w:t>2</w:t>
                </w:r>
              </w:sdtContent>
            </w:sdt>
            <w:r w:rsidR="004B0B88" w:rsidRPr="00CD516B">
              <w:rPr>
                <w:rFonts w:ascii="Arial" w:hAnsi="Arial"/>
                <w:b/>
                <w:bCs/>
                <w:noProof w:val="0"/>
                <w:sz w:val="26"/>
                <w:szCs w:val="26"/>
                <w:rtl/>
              </w:rPr>
              <w:t>.</w:t>
            </w:r>
            <w:r w:rsidR="004B0B88" w:rsidRPr="00CD516B">
              <w:rPr>
                <w:rFonts w:ascii="Arial" w:hAnsi="Arial" w:hint="cs"/>
                <w:b/>
                <w:bCs/>
                <w:noProof w:val="0"/>
                <w:sz w:val="26"/>
                <w:szCs w:val="26"/>
                <w:rtl/>
              </w:rPr>
              <w:t xml:space="preserve"> </w:t>
            </w:r>
            <w:sdt>
              <w:sdtPr>
                <w:rPr>
                  <w:rFonts w:ascii="Arial" w:hAnsi="Arial"/>
                  <w:b/>
                  <w:bCs/>
                  <w:noProof w:val="0"/>
                  <w:sz w:val="26"/>
                  <w:szCs w:val="26"/>
                  <w:rtl/>
                </w:rPr>
                <w:alias w:val="3151"/>
                <w:tag w:val="3151"/>
                <w:id w:val="432874089"/>
                <w:placeholder>
                  <w:docPart w:val="A784E4FD75D0412FBFA365A438716C76"/>
                </w:placeholder>
                <w:text w:multiLine="1"/>
              </w:sdtPr>
              <w:sdtEndPr/>
              <w:sdtContent>
                <w:r w:rsidR="004B0B88">
                  <w:rPr>
                    <w:rFonts w:ascii="Arial" w:hAnsi="Arial" w:hint="cs"/>
                    <w:b/>
                    <w:bCs/>
                    <w:noProof w:val="0"/>
                    <w:sz w:val="26"/>
                    <w:szCs w:val="26"/>
                    <w:rtl/>
                  </w:rPr>
                  <w:t xml:space="preserve">עו"ד </w:t>
                </w:r>
                <w:r w:rsidR="008D4DBB">
                  <w:rPr>
                    <w:rFonts w:ascii="Arial" w:hAnsi="Arial" w:hint="cs"/>
                    <w:b/>
                    <w:bCs/>
                    <w:noProof w:val="0"/>
                    <w:sz w:val="26"/>
                    <w:szCs w:val="26"/>
                    <w:rtl/>
                  </w:rPr>
                  <w:t>...</w:t>
                </w:r>
                <w:r w:rsidR="004B0B88">
                  <w:rPr>
                    <w:rFonts w:ascii="Arial" w:hAnsi="Arial" w:hint="cs"/>
                    <w:b/>
                    <w:bCs/>
                    <w:noProof w:val="0"/>
                    <w:sz w:val="26"/>
                    <w:szCs w:val="26"/>
                    <w:rtl/>
                  </w:rPr>
                  <w:t xml:space="preserve"> (מנהל עיזבון)</w:t>
                </w:r>
              </w:sdtContent>
            </w:sdt>
          </w:p>
        </w:tc>
      </w:tr>
      <w:tr w:rsidR="004B0B88" w:rsidTr="00ED0D05">
        <w:trPr>
          <w:jc w:val="center"/>
        </w:trPr>
        <w:tc>
          <w:tcPr>
            <w:tcW w:w="8820" w:type="dxa"/>
            <w:gridSpan w:val="3"/>
          </w:tcPr>
          <w:p w:rsidR="004B0B88" w:rsidRDefault="004B0B88" w:rsidP="00ED0D05">
            <w:pPr>
              <w:suppressLineNumbers/>
              <w:rPr>
                <w:rFonts w:ascii="Arial" w:hAnsi="Arial"/>
                <w:b/>
                <w:bCs/>
                <w:noProof w:val="0"/>
                <w:sz w:val="26"/>
                <w:szCs w:val="26"/>
                <w:rtl/>
              </w:rPr>
            </w:pPr>
          </w:p>
          <w:p w:rsidR="004B0B88" w:rsidRDefault="004B0B88" w:rsidP="00ED0D05">
            <w:pPr>
              <w:suppressLineNumbers/>
              <w:jc w:val="center"/>
              <w:rPr>
                <w:rFonts w:ascii="Arial" w:hAnsi="Arial"/>
                <w:b/>
                <w:bCs/>
                <w:noProof w:val="0"/>
                <w:sz w:val="26"/>
                <w:szCs w:val="26"/>
                <w:rtl/>
              </w:rPr>
            </w:pPr>
          </w:p>
          <w:p w:rsidR="004B0B88" w:rsidRDefault="004B0B88" w:rsidP="00ED0D05">
            <w:pPr>
              <w:suppressLineNumbers/>
              <w:rPr>
                <w:rFonts w:ascii="Arial" w:hAnsi="Arial"/>
                <w:b/>
                <w:bCs/>
                <w:noProof w:val="0"/>
                <w:sz w:val="26"/>
                <w:szCs w:val="26"/>
              </w:rPr>
            </w:pPr>
          </w:p>
        </w:tc>
      </w:tr>
      <w:tr w:rsidR="004B0B88" w:rsidTr="00ED0D05">
        <w:trPr>
          <w:jc w:val="center"/>
        </w:trPr>
        <w:tc>
          <w:tcPr>
            <w:tcW w:w="3249" w:type="dxa"/>
            <w:gridSpan w:val="2"/>
          </w:tcPr>
          <w:p w:rsidR="004B0B88" w:rsidRDefault="00B43124" w:rsidP="00ED0D05">
            <w:pPr>
              <w:suppressLineNumbers/>
              <w:rPr>
                <w:rFonts w:ascii="Arial" w:hAnsi="Arial"/>
                <w:b/>
                <w:bCs/>
                <w:noProof w:val="0"/>
                <w:sz w:val="26"/>
                <w:szCs w:val="26"/>
              </w:rPr>
            </w:pPr>
            <w:sdt>
              <w:sdtPr>
                <w:rPr>
                  <w:rtl/>
                </w:rPr>
                <w:alias w:val="1184"/>
                <w:tag w:val="1184"/>
                <w:id w:val="-340621022"/>
                <w:text w:multiLine="1"/>
              </w:sdtPr>
              <w:sdtEndPr/>
              <w:sdtContent>
                <w:r w:rsidR="004B0B88">
                  <w:rPr>
                    <w:rFonts w:ascii="Arial" w:hAnsi="Arial" w:hint="cs"/>
                    <w:b/>
                    <w:bCs/>
                    <w:noProof w:val="0"/>
                    <w:sz w:val="26"/>
                    <w:szCs w:val="26"/>
                    <w:rtl/>
                  </w:rPr>
                  <w:t>המשיבים</w:t>
                </w:r>
              </w:sdtContent>
            </w:sdt>
          </w:p>
        </w:tc>
        <w:tc>
          <w:tcPr>
            <w:tcW w:w="5571" w:type="dxa"/>
          </w:tcPr>
          <w:p w:rsidR="004B0B88" w:rsidRPr="00CD516B" w:rsidRDefault="00B43124" w:rsidP="008D4DBB">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4B0B88">
                  <w:rPr>
                    <w:rFonts w:ascii="Arial" w:hAnsi="Arial"/>
                    <w:b/>
                    <w:bCs/>
                    <w:noProof w:val="0"/>
                    <w:sz w:val="26"/>
                    <w:szCs w:val="26"/>
                    <w:rtl/>
                  </w:rPr>
                  <w:t>1</w:t>
                </w:r>
              </w:sdtContent>
            </w:sdt>
            <w:r w:rsidR="004B0B88">
              <w:rPr>
                <w:rFonts w:ascii="Arial" w:hAnsi="Arial"/>
                <w:b/>
                <w:bCs/>
                <w:noProof w:val="0"/>
                <w:sz w:val="26"/>
                <w:szCs w:val="26"/>
                <w:rtl/>
              </w:rPr>
              <w:t>.</w:t>
            </w:r>
            <w:r w:rsidR="004B0B88">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FFEF10EEA9014042A614A160E94C90CE"/>
                </w:placeholder>
                <w:text w:multiLine="1"/>
              </w:sdtPr>
              <w:sdtEndPr/>
              <w:sdtContent>
                <w:r w:rsidR="008D4DBB">
                  <w:rPr>
                    <w:rFonts w:ascii="Arial" w:hAnsi="Arial" w:hint="cs"/>
                    <w:b/>
                    <w:bCs/>
                    <w:noProof w:val="0"/>
                    <w:sz w:val="26"/>
                    <w:szCs w:val="26"/>
                    <w:rtl/>
                  </w:rPr>
                  <w:t>אלמונית</w:t>
                </w:r>
                <w:r w:rsidR="004B0B88">
                  <w:rPr>
                    <w:rFonts w:ascii="Arial" w:hAnsi="Arial"/>
                    <w:b/>
                    <w:bCs/>
                    <w:noProof w:val="0"/>
                    <w:sz w:val="26"/>
                    <w:szCs w:val="26"/>
                    <w:rtl/>
                  </w:rPr>
                  <w:br/>
                </w:r>
                <w:r w:rsidR="004B0B88">
                  <w:rPr>
                    <w:rFonts w:ascii="Arial" w:hAnsi="Arial" w:hint="cs"/>
                    <w:b/>
                    <w:bCs/>
                    <w:noProof w:val="0"/>
                    <w:sz w:val="26"/>
                    <w:szCs w:val="26"/>
                    <w:rtl/>
                  </w:rPr>
                  <w:t>באמצעות ב"כ עו"ד רוני יצחקי</w:t>
                </w:r>
                <w:r w:rsidR="004B0B88">
                  <w:rPr>
                    <w:rFonts w:ascii="Arial" w:hAnsi="Arial"/>
                    <w:b/>
                    <w:bCs/>
                    <w:noProof w:val="0"/>
                    <w:sz w:val="26"/>
                    <w:szCs w:val="26"/>
                    <w:rtl/>
                  </w:rPr>
                  <w:br/>
                </w:r>
              </w:sdtContent>
            </w:sdt>
          </w:p>
          <w:p w:rsidR="004B0B88" w:rsidRPr="00CD516B" w:rsidRDefault="00B43124" w:rsidP="008D4DBB">
            <w:pPr>
              <w:suppressLineNumbers/>
              <w:rPr>
                <w:rFonts w:ascii="Arial" w:hAnsi="Arial"/>
                <w:b/>
                <w:bCs/>
                <w:noProof w:val="0"/>
                <w:sz w:val="26"/>
                <w:szCs w:val="26"/>
                <w:rtl/>
              </w:rPr>
            </w:pPr>
            <w:sdt>
              <w:sdtPr>
                <w:rPr>
                  <w:rFonts w:ascii="Arial" w:hAnsi="Arial"/>
                  <w:b/>
                  <w:bCs/>
                  <w:noProof w:val="0"/>
                  <w:sz w:val="26"/>
                  <w:szCs w:val="26"/>
                  <w:rtl/>
                </w:rPr>
                <w:alias w:val="1571"/>
                <w:tag w:val="1571"/>
                <w:id w:val="391249921"/>
                <w:text w:multiLine="1"/>
              </w:sdtPr>
              <w:sdtEndPr/>
              <w:sdtContent>
                <w:r w:rsidR="004B0B88">
                  <w:rPr>
                    <w:rFonts w:ascii="Arial" w:hAnsi="Arial"/>
                    <w:b/>
                    <w:bCs/>
                    <w:noProof w:val="0"/>
                    <w:sz w:val="26"/>
                    <w:szCs w:val="26"/>
                    <w:rtl/>
                  </w:rPr>
                  <w:t>2</w:t>
                </w:r>
              </w:sdtContent>
            </w:sdt>
            <w:r w:rsidR="004B0B88">
              <w:rPr>
                <w:rFonts w:ascii="Arial" w:hAnsi="Arial"/>
                <w:b/>
                <w:bCs/>
                <w:noProof w:val="0"/>
                <w:sz w:val="26"/>
                <w:szCs w:val="26"/>
                <w:rtl/>
              </w:rPr>
              <w:t>.</w:t>
            </w:r>
            <w:r w:rsidR="004B0B88">
              <w:rPr>
                <w:rFonts w:ascii="Arial" w:hAnsi="Arial" w:hint="cs"/>
                <w:b/>
                <w:bCs/>
                <w:noProof w:val="0"/>
                <w:sz w:val="26"/>
                <w:szCs w:val="26"/>
                <w:rtl/>
              </w:rPr>
              <w:t xml:space="preserve"> </w:t>
            </w:r>
            <w:sdt>
              <w:sdtPr>
                <w:rPr>
                  <w:rFonts w:ascii="Arial" w:hAnsi="Arial"/>
                  <w:b/>
                  <w:bCs/>
                  <w:noProof w:val="0"/>
                  <w:sz w:val="26"/>
                  <w:szCs w:val="26"/>
                  <w:rtl/>
                </w:rPr>
                <w:alias w:val="3152"/>
                <w:tag w:val="3152"/>
                <w:id w:val="-2088756564"/>
                <w:placeholder>
                  <w:docPart w:val="FFEF10EEA9014042A614A160E94C90CE"/>
                </w:placeholder>
                <w:text w:multiLine="1"/>
              </w:sdtPr>
              <w:sdtEndPr/>
              <w:sdtContent>
                <w:r w:rsidR="008D4DBB">
                  <w:rPr>
                    <w:rFonts w:ascii="Arial" w:hAnsi="Arial" w:hint="cs"/>
                    <w:b/>
                    <w:bCs/>
                    <w:noProof w:val="0"/>
                    <w:sz w:val="26"/>
                    <w:szCs w:val="26"/>
                    <w:rtl/>
                  </w:rPr>
                  <w:t>אלמונית</w:t>
                </w:r>
                <w:r w:rsidR="004B0B88">
                  <w:rPr>
                    <w:rFonts w:ascii="Arial" w:hAnsi="Arial" w:hint="cs"/>
                    <w:b/>
                    <w:bCs/>
                    <w:noProof w:val="0"/>
                    <w:sz w:val="26"/>
                    <w:szCs w:val="26"/>
                    <w:rtl/>
                  </w:rPr>
                  <w:t xml:space="preserve"> </w:t>
                </w:r>
              </w:sdtContent>
            </w:sdt>
          </w:p>
          <w:p w:rsidR="004B0B88" w:rsidRPr="00CD516B" w:rsidRDefault="00B43124" w:rsidP="008D4DBB">
            <w:pPr>
              <w:suppressLineNumbers/>
              <w:rPr>
                <w:rFonts w:ascii="Arial" w:hAnsi="Arial"/>
                <w:b/>
                <w:bCs/>
                <w:noProof w:val="0"/>
                <w:sz w:val="26"/>
                <w:szCs w:val="26"/>
                <w:rtl/>
              </w:rPr>
            </w:pPr>
            <w:sdt>
              <w:sdtPr>
                <w:rPr>
                  <w:rFonts w:ascii="Arial" w:hAnsi="Arial"/>
                  <w:b/>
                  <w:bCs/>
                  <w:noProof w:val="0"/>
                  <w:sz w:val="26"/>
                  <w:szCs w:val="26"/>
                  <w:rtl/>
                </w:rPr>
                <w:alias w:val="1571"/>
                <w:tag w:val="1571"/>
                <w:id w:val="1672599031"/>
                <w:text w:multiLine="1"/>
              </w:sdtPr>
              <w:sdtEndPr/>
              <w:sdtContent>
                <w:r w:rsidR="004B0B88">
                  <w:rPr>
                    <w:rFonts w:ascii="Arial" w:hAnsi="Arial"/>
                    <w:b/>
                    <w:bCs/>
                    <w:noProof w:val="0"/>
                    <w:sz w:val="26"/>
                    <w:szCs w:val="26"/>
                    <w:rtl/>
                  </w:rPr>
                  <w:t>3</w:t>
                </w:r>
              </w:sdtContent>
            </w:sdt>
            <w:r w:rsidR="004B0B88">
              <w:rPr>
                <w:rFonts w:ascii="Arial" w:hAnsi="Arial"/>
                <w:b/>
                <w:bCs/>
                <w:noProof w:val="0"/>
                <w:sz w:val="26"/>
                <w:szCs w:val="26"/>
                <w:rtl/>
              </w:rPr>
              <w:t>.</w:t>
            </w:r>
            <w:r w:rsidR="004B0B88">
              <w:rPr>
                <w:rFonts w:ascii="Arial" w:hAnsi="Arial" w:hint="cs"/>
                <w:b/>
                <w:bCs/>
                <w:noProof w:val="0"/>
                <w:sz w:val="26"/>
                <w:szCs w:val="26"/>
                <w:rtl/>
              </w:rPr>
              <w:t xml:space="preserve"> </w:t>
            </w:r>
            <w:sdt>
              <w:sdtPr>
                <w:rPr>
                  <w:rFonts w:ascii="Arial" w:hAnsi="Arial"/>
                  <w:b/>
                  <w:bCs/>
                  <w:noProof w:val="0"/>
                  <w:sz w:val="26"/>
                  <w:szCs w:val="26"/>
                  <w:rtl/>
                </w:rPr>
                <w:alias w:val="3152"/>
                <w:tag w:val="3152"/>
                <w:id w:val="-1002588204"/>
                <w:placeholder>
                  <w:docPart w:val="FFEF10EEA9014042A614A160E94C90CE"/>
                </w:placeholder>
                <w:text w:multiLine="1"/>
              </w:sdtPr>
              <w:sdtEndPr/>
              <w:sdtContent>
                <w:r w:rsidR="008D4DBB">
                  <w:rPr>
                    <w:rFonts w:ascii="Arial" w:hAnsi="Arial" w:hint="cs"/>
                    <w:b/>
                    <w:bCs/>
                    <w:noProof w:val="0"/>
                    <w:sz w:val="26"/>
                    <w:szCs w:val="26"/>
                    <w:rtl/>
                  </w:rPr>
                  <w:t>אלמונית</w:t>
                </w:r>
              </w:sdtContent>
            </w:sdt>
          </w:p>
          <w:p w:rsidR="004B0B88" w:rsidRPr="00CD516B" w:rsidRDefault="00B43124" w:rsidP="00ED0D05">
            <w:pPr>
              <w:suppressLineNumbers/>
              <w:rPr>
                <w:rFonts w:ascii="Arial" w:hAnsi="Arial"/>
                <w:b/>
                <w:bCs/>
                <w:noProof w:val="0"/>
                <w:sz w:val="26"/>
                <w:szCs w:val="26"/>
                <w:rtl/>
              </w:rPr>
            </w:pPr>
            <w:sdt>
              <w:sdtPr>
                <w:rPr>
                  <w:rFonts w:ascii="Arial" w:hAnsi="Arial"/>
                  <w:b/>
                  <w:bCs/>
                  <w:noProof w:val="0"/>
                  <w:sz w:val="26"/>
                  <w:szCs w:val="26"/>
                  <w:rtl/>
                </w:rPr>
                <w:alias w:val="1571"/>
                <w:tag w:val="1571"/>
                <w:id w:val="895170048"/>
                <w:text w:multiLine="1"/>
              </w:sdtPr>
              <w:sdtEndPr/>
              <w:sdtContent>
                <w:r w:rsidR="004B0B88">
                  <w:rPr>
                    <w:rFonts w:ascii="Arial" w:hAnsi="Arial"/>
                    <w:b/>
                    <w:bCs/>
                    <w:noProof w:val="0"/>
                    <w:sz w:val="26"/>
                    <w:szCs w:val="26"/>
                    <w:rtl/>
                  </w:rPr>
                  <w:t>4</w:t>
                </w:r>
              </w:sdtContent>
            </w:sdt>
            <w:r w:rsidR="004B0B88">
              <w:rPr>
                <w:rFonts w:ascii="Arial" w:hAnsi="Arial"/>
                <w:b/>
                <w:bCs/>
                <w:noProof w:val="0"/>
                <w:sz w:val="26"/>
                <w:szCs w:val="26"/>
                <w:rtl/>
              </w:rPr>
              <w:t>.</w:t>
            </w:r>
            <w:r w:rsidR="004B0B88">
              <w:rPr>
                <w:rFonts w:ascii="Arial" w:hAnsi="Arial" w:hint="cs"/>
                <w:b/>
                <w:bCs/>
                <w:noProof w:val="0"/>
                <w:sz w:val="26"/>
                <w:szCs w:val="26"/>
                <w:rtl/>
              </w:rPr>
              <w:t xml:space="preserve"> </w:t>
            </w:r>
            <w:sdt>
              <w:sdtPr>
                <w:rPr>
                  <w:rFonts w:ascii="Arial" w:hAnsi="Arial"/>
                  <w:b/>
                  <w:bCs/>
                  <w:noProof w:val="0"/>
                  <w:sz w:val="26"/>
                  <w:szCs w:val="26"/>
                  <w:rtl/>
                </w:rPr>
                <w:alias w:val="3152"/>
                <w:tag w:val="3152"/>
                <w:id w:val="-1425329972"/>
                <w:placeholder>
                  <w:docPart w:val="FFEF10EEA9014042A614A160E94C90CE"/>
                </w:placeholder>
                <w:text w:multiLine="1"/>
              </w:sdtPr>
              <w:sdtEndPr/>
              <w:sdtContent>
                <w:r w:rsidR="004B0B88">
                  <w:rPr>
                    <w:rFonts w:ascii="Arial" w:hAnsi="Arial" w:hint="cs"/>
                    <w:b/>
                    <w:bCs/>
                    <w:noProof w:val="0"/>
                    <w:sz w:val="26"/>
                    <w:szCs w:val="26"/>
                    <w:rtl/>
                  </w:rPr>
                  <w:t>ב"כ היועץ המשפטי לממשלה</w:t>
                </w:r>
              </w:sdtContent>
            </w:sdt>
          </w:p>
        </w:tc>
      </w:tr>
      <w:tr w:rsidR="004B0B88" w:rsidTr="00ED0D05">
        <w:trPr>
          <w:jc w:val="center"/>
        </w:trPr>
        <w:tc>
          <w:tcPr>
            <w:tcW w:w="8820" w:type="dxa"/>
            <w:gridSpan w:val="3"/>
          </w:tcPr>
          <w:p w:rsidR="004B0B88" w:rsidRDefault="004B0B88" w:rsidP="00ED0D05">
            <w:pPr>
              <w:suppressLineNumbers/>
              <w:rPr>
                <w:rtl/>
              </w:rPr>
            </w:pPr>
          </w:p>
          <w:p w:rsidR="004B0B88" w:rsidRDefault="004B0B88" w:rsidP="00ED0D05">
            <w:pPr>
              <w:suppressLineNumbers/>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B0B88" w:rsidRPr="00CD516B" w:rsidTr="00ED0D05">
              <w:trPr>
                <w:jc w:val="center"/>
              </w:trPr>
              <w:tc>
                <w:tcPr>
                  <w:tcW w:w="3249" w:type="dxa"/>
                </w:tcPr>
                <w:p w:rsidR="004B0B88" w:rsidRDefault="00B43124" w:rsidP="00ED0D05">
                  <w:pPr>
                    <w:suppressLineNumbers/>
                    <w:rPr>
                      <w:rFonts w:ascii="Arial" w:hAnsi="Arial"/>
                      <w:b/>
                      <w:bCs/>
                      <w:noProof w:val="0"/>
                      <w:sz w:val="26"/>
                      <w:szCs w:val="26"/>
                    </w:rPr>
                  </w:pPr>
                  <w:sdt>
                    <w:sdtPr>
                      <w:rPr>
                        <w:u w:val="single"/>
                        <w:rtl/>
                      </w:rPr>
                      <w:alias w:val="1184"/>
                      <w:tag w:val="1184"/>
                      <w:id w:val="-1779165378"/>
                      <w:text w:multiLine="1"/>
                    </w:sdtPr>
                    <w:sdtEndPr/>
                    <w:sdtContent>
                      <w:r w:rsidR="004B0B88">
                        <w:rPr>
                          <w:rFonts w:ascii="Arial" w:hAnsi="Arial"/>
                          <w:b/>
                          <w:bCs/>
                          <w:noProof w:val="0"/>
                          <w:sz w:val="26"/>
                          <w:szCs w:val="26"/>
                          <w:u w:val="single"/>
                          <w:rtl/>
                        </w:rPr>
                        <w:t>ובעניין ה</w:t>
                      </w:r>
                      <w:r w:rsidR="004B0B88">
                        <w:rPr>
                          <w:rFonts w:ascii="Arial" w:hAnsi="Arial" w:hint="cs"/>
                          <w:b/>
                          <w:bCs/>
                          <w:noProof w:val="0"/>
                          <w:sz w:val="26"/>
                          <w:szCs w:val="26"/>
                          <w:u w:val="single"/>
                          <w:rtl/>
                        </w:rPr>
                        <w:t>מנוחים</w:t>
                      </w:r>
                      <w:r w:rsidR="004B0B88">
                        <w:rPr>
                          <w:rFonts w:ascii="Arial" w:hAnsi="Arial"/>
                          <w:b/>
                          <w:bCs/>
                          <w:noProof w:val="0"/>
                          <w:sz w:val="26"/>
                          <w:szCs w:val="26"/>
                          <w:u w:val="single"/>
                          <w:rtl/>
                        </w:rPr>
                        <w:t xml:space="preserve">: </w:t>
                      </w:r>
                    </w:sdtContent>
                  </w:sdt>
                </w:p>
              </w:tc>
              <w:tc>
                <w:tcPr>
                  <w:tcW w:w="5571" w:type="dxa"/>
                </w:tcPr>
                <w:p w:rsidR="008D4DBB" w:rsidRPr="008D4DBB" w:rsidRDefault="004B0B88" w:rsidP="008D4DBB">
                  <w:pPr>
                    <w:pStyle w:val="a4"/>
                    <w:numPr>
                      <w:ilvl w:val="0"/>
                      <w:numId w:val="2"/>
                    </w:numPr>
                    <w:suppressLineNumbers/>
                    <w:rPr>
                      <w:rFonts w:ascii="Arial" w:hAnsi="Arial"/>
                      <w:b/>
                      <w:bCs/>
                      <w:noProof w:val="0"/>
                      <w:sz w:val="26"/>
                      <w:szCs w:val="26"/>
                      <w:rtl/>
                    </w:rPr>
                  </w:pPr>
                  <w:r w:rsidRPr="008D4DBB">
                    <w:rPr>
                      <w:rFonts w:ascii="Arial" w:hAnsi="Arial" w:hint="cs"/>
                      <w:b/>
                      <w:bCs/>
                      <w:noProof w:val="0"/>
                      <w:sz w:val="26"/>
                      <w:szCs w:val="26"/>
                      <w:rtl/>
                    </w:rPr>
                    <w:t xml:space="preserve">גב' </w:t>
                  </w:r>
                  <w:r w:rsidR="008D4DBB" w:rsidRPr="008D4DBB">
                    <w:rPr>
                      <w:rFonts w:ascii="Arial" w:hAnsi="Arial" w:hint="cs"/>
                      <w:b/>
                      <w:bCs/>
                      <w:noProof w:val="0"/>
                      <w:sz w:val="26"/>
                      <w:szCs w:val="26"/>
                      <w:rtl/>
                    </w:rPr>
                    <w:t>...</w:t>
                  </w:r>
                  <w:r w:rsidRPr="008D4DBB">
                    <w:rPr>
                      <w:rFonts w:ascii="Arial" w:hAnsi="Arial" w:hint="cs"/>
                      <w:b/>
                      <w:bCs/>
                      <w:noProof w:val="0"/>
                      <w:sz w:val="26"/>
                      <w:szCs w:val="26"/>
                      <w:rtl/>
                    </w:rPr>
                    <w:t xml:space="preserve"> ז"ל</w:t>
                  </w:r>
                </w:p>
                <w:p w:rsidR="004B0B88" w:rsidRPr="008D4DBB" w:rsidRDefault="00B43124" w:rsidP="008D4DBB">
                  <w:pPr>
                    <w:pStyle w:val="a4"/>
                    <w:numPr>
                      <w:ilvl w:val="0"/>
                      <w:numId w:val="2"/>
                    </w:numPr>
                    <w:suppressLineNumbers/>
                    <w:rPr>
                      <w:rFonts w:ascii="Arial" w:hAnsi="Arial"/>
                      <w:b/>
                      <w:bCs/>
                      <w:noProof w:val="0"/>
                      <w:sz w:val="26"/>
                      <w:szCs w:val="26"/>
                      <w:rtl/>
                    </w:rPr>
                  </w:pPr>
                  <w:sdt>
                    <w:sdtPr>
                      <w:rPr>
                        <w:rFonts w:ascii="Arial" w:hAnsi="Arial"/>
                        <w:b/>
                        <w:bCs/>
                        <w:noProof w:val="0"/>
                        <w:sz w:val="26"/>
                        <w:szCs w:val="26"/>
                        <w:rtl/>
                      </w:rPr>
                      <w:alias w:val="3152"/>
                      <w:tag w:val="3152"/>
                      <w:id w:val="1521507725"/>
                      <w:placeholder>
                        <w:docPart w:val="1E29C4BF7A10415D97708BF449F96E11"/>
                      </w:placeholder>
                      <w:text w:multiLine="1"/>
                    </w:sdtPr>
                    <w:sdtEndPr/>
                    <w:sdtContent>
                      <w:r w:rsidR="004B0B88" w:rsidRPr="008D4DBB">
                        <w:rPr>
                          <w:rFonts w:ascii="Arial" w:hAnsi="Arial" w:hint="cs"/>
                          <w:b/>
                          <w:bCs/>
                          <w:noProof w:val="0"/>
                          <w:sz w:val="26"/>
                          <w:szCs w:val="26"/>
                          <w:rtl/>
                        </w:rPr>
                        <w:t xml:space="preserve">מר </w:t>
                      </w:r>
                      <w:r w:rsidR="008D4DBB">
                        <w:rPr>
                          <w:rFonts w:ascii="Arial" w:hAnsi="Arial" w:hint="cs"/>
                          <w:b/>
                          <w:bCs/>
                          <w:noProof w:val="0"/>
                          <w:sz w:val="26"/>
                          <w:szCs w:val="26"/>
                          <w:rtl/>
                        </w:rPr>
                        <w:t>...</w:t>
                      </w:r>
                      <w:r w:rsidR="004B0B88" w:rsidRPr="008D4DBB">
                        <w:rPr>
                          <w:rFonts w:ascii="Arial" w:hAnsi="Arial" w:hint="cs"/>
                          <w:b/>
                          <w:bCs/>
                          <w:noProof w:val="0"/>
                          <w:sz w:val="26"/>
                          <w:szCs w:val="26"/>
                          <w:rtl/>
                        </w:rPr>
                        <w:t xml:space="preserve"> ז"ל</w:t>
                      </w:r>
                      <w:r w:rsidR="004B0B88" w:rsidRPr="008D4DBB">
                        <w:rPr>
                          <w:rFonts w:ascii="Arial" w:hAnsi="Arial"/>
                          <w:b/>
                          <w:bCs/>
                          <w:noProof w:val="0"/>
                          <w:sz w:val="26"/>
                          <w:szCs w:val="26"/>
                          <w:rtl/>
                        </w:rPr>
                        <w:br/>
                      </w:r>
                      <w:r w:rsidR="004B0B88" w:rsidRPr="008D4DBB">
                        <w:rPr>
                          <w:rFonts w:ascii="Arial" w:hAnsi="Arial"/>
                          <w:b/>
                          <w:bCs/>
                          <w:noProof w:val="0"/>
                          <w:sz w:val="26"/>
                          <w:szCs w:val="26"/>
                          <w:rtl/>
                        </w:rPr>
                        <w:br/>
                      </w:r>
                    </w:sdtContent>
                  </w:sdt>
                </w:p>
              </w:tc>
            </w:tr>
            <w:tr w:rsidR="004B0B88" w:rsidRPr="00CD516B" w:rsidTr="00ED0D05">
              <w:trPr>
                <w:jc w:val="center"/>
              </w:trPr>
              <w:tc>
                <w:tcPr>
                  <w:tcW w:w="3249" w:type="dxa"/>
                </w:tcPr>
                <w:p w:rsidR="004B0B88" w:rsidRDefault="004B0B88" w:rsidP="00ED0D05">
                  <w:pPr>
                    <w:suppressLineNumbers/>
                    <w:rPr>
                      <w:rFonts w:ascii="Arial" w:hAnsi="Arial"/>
                      <w:b/>
                      <w:bCs/>
                      <w:noProof w:val="0"/>
                      <w:sz w:val="26"/>
                      <w:szCs w:val="26"/>
                      <w:rtl/>
                    </w:rPr>
                  </w:pPr>
                </w:p>
              </w:tc>
              <w:tc>
                <w:tcPr>
                  <w:tcW w:w="5571" w:type="dxa"/>
                </w:tcPr>
                <w:p w:rsidR="004B0B88" w:rsidRDefault="004B0B88" w:rsidP="00ED0D05">
                  <w:pPr>
                    <w:suppressLineNumbers/>
                    <w:rPr>
                      <w:rFonts w:ascii="Arial" w:hAnsi="Arial"/>
                      <w:b/>
                      <w:bCs/>
                      <w:noProof w:val="0"/>
                      <w:sz w:val="26"/>
                      <w:szCs w:val="26"/>
                      <w:rtl/>
                    </w:rPr>
                  </w:pPr>
                </w:p>
              </w:tc>
            </w:tr>
          </w:tbl>
          <w:p w:rsidR="004B0B88" w:rsidRDefault="004B0B88" w:rsidP="00ED0D05">
            <w:pPr>
              <w:suppressLineNumbers/>
              <w:rPr>
                <w:rtl/>
              </w:rPr>
            </w:pPr>
          </w:p>
        </w:tc>
      </w:tr>
    </w:tbl>
    <w:p w:rsidR="004B0B88" w:rsidRDefault="004B0B88" w:rsidP="004B0B88">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B0B88" w:rsidRPr="00DE1E7D" w:rsidTr="00ED0D05">
        <w:trPr>
          <w:jc w:val="center"/>
        </w:trPr>
        <w:tc>
          <w:tcPr>
            <w:tcW w:w="8820" w:type="dxa"/>
          </w:tcPr>
          <w:p w:rsidR="004B0B88" w:rsidRPr="007C21DB" w:rsidRDefault="004B0B88" w:rsidP="00ED0D05">
            <w:pPr>
              <w:bidi w:val="0"/>
              <w:jc w:val="center"/>
              <w:rPr>
                <w:rFonts w:ascii="Arial" w:hAnsi="Arial"/>
                <w:b/>
                <w:bCs/>
                <w:noProof w:val="0"/>
                <w:sz w:val="32"/>
                <w:szCs w:val="32"/>
                <w:u w:val="single"/>
                <w:rtl/>
              </w:rPr>
            </w:pPr>
            <w:r w:rsidRPr="007C21DB">
              <w:rPr>
                <w:rFonts w:ascii="Arial" w:hAnsi="Arial" w:hint="cs"/>
                <w:b/>
                <w:bCs/>
                <w:noProof w:val="0"/>
                <w:sz w:val="32"/>
                <w:szCs w:val="32"/>
                <w:u w:val="single"/>
                <w:rtl/>
              </w:rPr>
              <w:t>החלטה</w:t>
            </w:r>
          </w:p>
          <w:p w:rsidR="004B0B88" w:rsidRPr="00D44968" w:rsidRDefault="004B0B88" w:rsidP="00ED0D05">
            <w:pPr>
              <w:bidi w:val="0"/>
              <w:jc w:val="center"/>
              <w:rPr>
                <w:rFonts w:ascii="Arial" w:hAnsi="Arial"/>
                <w:b/>
                <w:bCs/>
                <w:noProof w:val="0"/>
                <w:sz w:val="28"/>
                <w:szCs w:val="28"/>
                <w:u w:val="single"/>
              </w:rPr>
            </w:pPr>
          </w:p>
        </w:tc>
      </w:tr>
    </w:tbl>
    <w:p w:rsidR="004B0B88" w:rsidRDefault="004B0B88" w:rsidP="008D4DBB">
      <w:pPr>
        <w:pStyle w:val="a4"/>
        <w:spacing w:line="360" w:lineRule="auto"/>
        <w:ind w:left="85"/>
        <w:jc w:val="both"/>
        <w:rPr>
          <w:rFonts w:ascii="Arial" w:hAnsi="Arial"/>
          <w:noProof w:val="0"/>
        </w:rPr>
      </w:pPr>
      <w:bookmarkStart w:id="1" w:name="NGCSBookmark"/>
      <w:bookmarkEnd w:id="1"/>
      <w:r>
        <w:rPr>
          <w:rFonts w:ascii="Arial" w:hAnsi="Arial"/>
          <w:noProof w:val="0"/>
          <w:rtl/>
        </w:rPr>
        <w:t xml:space="preserve">בקשת רשות הערעור שלפנינו מכוונת כנגד החלטת בית המשפט לענייני משפחה באשדוד מיום </w:t>
      </w:r>
      <w:r>
        <w:rPr>
          <w:rFonts w:ascii="Arial" w:hAnsi="Arial" w:hint="cs"/>
          <w:noProof w:val="0"/>
          <w:rtl/>
        </w:rPr>
        <w:t>23</w:t>
      </w:r>
      <w:r>
        <w:rPr>
          <w:rFonts w:ascii="Arial" w:hAnsi="Arial"/>
          <w:noProof w:val="0"/>
          <w:rtl/>
        </w:rPr>
        <w:t>.</w:t>
      </w:r>
      <w:r>
        <w:rPr>
          <w:rFonts w:ascii="Arial" w:hAnsi="Arial" w:hint="cs"/>
          <w:noProof w:val="0"/>
          <w:rtl/>
        </w:rPr>
        <w:t>10</w:t>
      </w:r>
      <w:r>
        <w:rPr>
          <w:rFonts w:ascii="Arial" w:hAnsi="Arial"/>
          <w:noProof w:val="0"/>
          <w:rtl/>
        </w:rPr>
        <w:t xml:space="preserve">.2023 </w:t>
      </w:r>
      <w:r>
        <w:rPr>
          <w:rFonts w:ascii="Arial" w:hAnsi="Arial" w:hint="cs"/>
          <w:noProof w:val="0"/>
          <w:rtl/>
        </w:rPr>
        <w:t xml:space="preserve">שניתנה ב-ת"ע 23409-05-14 בגדרה הורה בית המשפט למבקשים להעביר לידי משיבה 1 סך של 95,487 ₪ המתקבל מן הסך שהייתה זכאית לקבל בגין חלקה בעיזבון המנוחים בהפחתת חלקה בשכר טרחת המבקשים שהועמד על 1,513 ₪ עפ"י החלטה קודמת שניתנה ביום 08.08.2023. </w:t>
      </w:r>
    </w:p>
    <w:p w:rsidR="004B0B88" w:rsidRDefault="004B0B88" w:rsidP="004B0B88">
      <w:pPr>
        <w:pStyle w:val="a4"/>
        <w:ind w:left="85"/>
        <w:jc w:val="both"/>
        <w:rPr>
          <w:rFonts w:ascii="Arial" w:hAnsi="Arial"/>
          <w:noProof w:val="0"/>
          <w:rtl/>
        </w:rPr>
      </w:pPr>
    </w:p>
    <w:p w:rsidR="004B0B88" w:rsidRDefault="004B0B88" w:rsidP="004B0B88">
      <w:pPr>
        <w:spacing w:after="160" w:line="360" w:lineRule="auto"/>
        <w:ind w:hanging="57"/>
        <w:contextualSpacing/>
        <w:jc w:val="both"/>
        <w:rPr>
          <w:rFonts w:ascii="David" w:eastAsia="Calibri" w:hAnsi="David"/>
          <w:b/>
          <w:bCs/>
          <w:noProof w:val="0"/>
          <w:sz w:val="26"/>
          <w:szCs w:val="26"/>
          <w:u w:val="single"/>
        </w:rPr>
      </w:pPr>
      <w:r>
        <w:rPr>
          <w:rFonts w:ascii="David" w:eastAsia="Calibri" w:hAnsi="David"/>
          <w:b/>
          <w:bCs/>
          <w:noProof w:val="0"/>
          <w:sz w:val="26"/>
          <w:szCs w:val="26"/>
          <w:u w:val="single"/>
          <w:rtl/>
        </w:rPr>
        <w:t xml:space="preserve">רקע כללי </w:t>
      </w:r>
      <w:r>
        <w:rPr>
          <w:rFonts w:ascii="David" w:eastAsia="Calibri" w:hAnsi="David" w:hint="cs"/>
          <w:b/>
          <w:bCs/>
          <w:noProof w:val="0"/>
          <w:sz w:val="26"/>
          <w:szCs w:val="26"/>
          <w:u w:val="single"/>
          <w:rtl/>
        </w:rPr>
        <w:t>והשתלשלות ההליכים</w:t>
      </w:r>
    </w:p>
    <w:p w:rsidR="004B0B88" w:rsidRDefault="004B0B88" w:rsidP="008D4DBB">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המשיבות 1-3 הן שלוש מתוך תשעת ילדי המנוחים, שהיו בעליה של דירת מגורים ברח' </w:t>
      </w:r>
      <w:r w:rsidR="008D4DBB">
        <w:rPr>
          <w:rFonts w:ascii="Arial" w:hAnsi="Arial" w:hint="cs"/>
          <w:noProof w:val="0"/>
          <w:rtl/>
        </w:rPr>
        <w:t>...</w:t>
      </w:r>
      <w:r>
        <w:rPr>
          <w:rFonts w:ascii="Arial" w:hAnsi="Arial" w:hint="cs"/>
          <w:noProof w:val="0"/>
          <w:rtl/>
        </w:rPr>
        <w:t xml:space="preserve"> בעיר </w:t>
      </w:r>
      <w:r w:rsidR="008D4DBB">
        <w:rPr>
          <w:rFonts w:ascii="Arial" w:hAnsi="Arial" w:hint="cs"/>
          <w:noProof w:val="0"/>
          <w:rtl/>
        </w:rPr>
        <w:t xml:space="preserve">... </w:t>
      </w:r>
      <w:r>
        <w:rPr>
          <w:rFonts w:ascii="Arial" w:hAnsi="Arial" w:hint="cs"/>
          <w:noProof w:val="0"/>
          <w:rtl/>
        </w:rPr>
        <w:t xml:space="preserve">(להלן: </w:t>
      </w:r>
      <w:r w:rsidRPr="00E2173F">
        <w:rPr>
          <w:rFonts w:ascii="Arial" w:hAnsi="Arial" w:hint="cs"/>
          <w:b/>
          <w:bCs/>
          <w:noProof w:val="0"/>
          <w:rtl/>
        </w:rPr>
        <w:t>"</w:t>
      </w:r>
      <w:r>
        <w:rPr>
          <w:rFonts w:ascii="Arial" w:hAnsi="Arial" w:hint="cs"/>
          <w:b/>
          <w:bCs/>
          <w:noProof w:val="0"/>
          <w:rtl/>
        </w:rPr>
        <w:t>הנכס</w:t>
      </w:r>
      <w:r w:rsidRPr="00E2173F">
        <w:rPr>
          <w:rFonts w:ascii="Arial" w:hAnsi="Arial" w:hint="cs"/>
          <w:b/>
          <w:bCs/>
          <w:noProof w:val="0"/>
          <w:rtl/>
        </w:rPr>
        <w:t>"</w:t>
      </w:r>
      <w:r>
        <w:rPr>
          <w:rFonts w:ascii="Arial" w:hAnsi="Arial" w:hint="cs"/>
          <w:noProof w:val="0"/>
          <w:rtl/>
        </w:rPr>
        <w:t>).</w:t>
      </w:r>
    </w:p>
    <w:p w:rsidR="004B0B88" w:rsidRDefault="004B0B88" w:rsidP="004B0B88">
      <w:pPr>
        <w:pStyle w:val="a4"/>
        <w:ind w:left="794"/>
        <w:jc w:val="both"/>
        <w:rPr>
          <w:rFonts w:ascii="Arial" w:hAnsi="Arial"/>
          <w:noProof w:val="0"/>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מעיון בתיק המתנהל בבית המשפט קמא עולה, כי המנוחים הלכו לעולמם בשנות התשעים של המאה הקודמת, ולאחר פטירתם הסתלקו שישה מתוך תשעת ילדיהם מחלקם בעיזבונם לטובת המשיבות 1-3.</w:t>
      </w:r>
    </w:p>
    <w:p w:rsidR="004B0B88" w:rsidRPr="00A57D58"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lastRenderedPageBreak/>
        <w:t>האם המנוחה נפטרה לבית עולמה לאחר האב המנוח וביום 31.07.2011 ניתן צו ירושה אחר עיזבונה לפיו המשיבות 1-3 הן יורשותיה בחלקים שווים.</w:t>
      </w:r>
    </w:p>
    <w:p w:rsidR="004B0B88" w:rsidRPr="000A5C7B"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בפועל, החזיקה בנכס המשיבה 1 מאז ראשית שנת 1998, והתגוררה בו יחד עם ארבעת ילדיה הבגירים. </w:t>
      </w:r>
    </w:p>
    <w:p w:rsidR="004B0B88" w:rsidRPr="00B36DEF" w:rsidRDefault="004B0B88" w:rsidP="004B0B88">
      <w:pPr>
        <w:pStyle w:val="a4"/>
        <w:rPr>
          <w:rFonts w:ascii="Arial" w:hAnsi="Arial"/>
          <w:noProof w:val="0"/>
          <w:rtl/>
        </w:rPr>
      </w:pPr>
    </w:p>
    <w:p w:rsidR="004B0B88" w:rsidRDefault="004B0B88" w:rsidP="008D4DBB">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ראשיתו של ההליך בבית המשפט קמא ביום 14.05.2014, עת עתרה עיריית </w:t>
      </w:r>
      <w:r w:rsidR="008D4DBB">
        <w:rPr>
          <w:rFonts w:ascii="Arial" w:hAnsi="Arial" w:hint="cs"/>
          <w:noProof w:val="0"/>
          <w:rtl/>
        </w:rPr>
        <w:t xml:space="preserve">... </w:t>
      </w:r>
      <w:r>
        <w:rPr>
          <w:rFonts w:ascii="Arial" w:hAnsi="Arial" w:hint="cs"/>
          <w:noProof w:val="0"/>
          <w:rtl/>
        </w:rPr>
        <w:t xml:space="preserve">(להלן: </w:t>
      </w:r>
      <w:r w:rsidRPr="00915F53">
        <w:rPr>
          <w:rFonts w:ascii="Arial" w:hAnsi="Arial" w:hint="cs"/>
          <w:b/>
          <w:bCs/>
          <w:noProof w:val="0"/>
          <w:rtl/>
        </w:rPr>
        <w:t>"הנושה"</w:t>
      </w:r>
      <w:r>
        <w:rPr>
          <w:rFonts w:ascii="Arial" w:hAnsi="Arial" w:hint="cs"/>
          <w:noProof w:val="0"/>
          <w:rtl/>
        </w:rPr>
        <w:t xml:space="preserve">) למינוי מנהל לעיזבון המנוחים לשם גביית חוב ארנונה שרבץ על הנכס וניתן לגביו פסק דין כנגד היורשים (ב-ת.א </w:t>
      </w:r>
      <w:r w:rsidR="008D4DBB">
        <w:rPr>
          <w:rFonts w:ascii="Arial" w:hAnsi="Arial" w:hint="cs"/>
          <w:noProof w:val="0"/>
          <w:rtl/>
        </w:rPr>
        <w:t>...</w:t>
      </w:r>
      <w:r>
        <w:rPr>
          <w:rFonts w:ascii="Arial" w:hAnsi="Arial" w:hint="cs"/>
          <w:noProof w:val="0"/>
          <w:rtl/>
        </w:rPr>
        <w:t xml:space="preserve">), תוך שנטען על ידה, כי נכון למועד הגשת הבקשה עמד סך החוב על 242,159 ₪. </w:t>
      </w:r>
    </w:p>
    <w:p w:rsidR="004B0B88" w:rsidRDefault="004B0B88" w:rsidP="004B0B88">
      <w:pPr>
        <w:pStyle w:val="a4"/>
        <w:ind w:left="794"/>
        <w:jc w:val="both"/>
        <w:rPr>
          <w:rFonts w:ascii="Arial" w:hAnsi="Arial"/>
          <w:noProof w:val="0"/>
          <w:rtl/>
        </w:rPr>
      </w:pPr>
    </w:p>
    <w:p w:rsidR="004B0B88" w:rsidRPr="00F03C1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ביום 14.02.2015 מונה למשיבה 1 אפוטרופוס לדין לשם מימוש זכויותיה לקבלת הנחה בחיוב הארנונה ולמציאת דיור חלופי עבורה.</w:t>
      </w:r>
    </w:p>
    <w:p w:rsidR="004B0B88" w:rsidRDefault="004B0B88" w:rsidP="004B0B88">
      <w:pPr>
        <w:pStyle w:val="a4"/>
        <w:ind w:left="794"/>
        <w:jc w:val="both"/>
        <w:rPr>
          <w:rFonts w:ascii="Arial" w:hAnsi="Arial"/>
          <w:noProof w:val="0"/>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ביום 11.05.2015 מינה בית המשפט קמא את המבקש 2 כמנהל עיזבון זמני לכינוס נכסי המנוחים, לפירעון חובות העיזבון לאחר בירור האפשרות להפחתת החובות כלפי הנושה ולחלוקת העיזבון בין היורשים.</w:t>
      </w:r>
    </w:p>
    <w:p w:rsidR="004B0B88" w:rsidRDefault="004B0B88" w:rsidP="004B0B88">
      <w:pPr>
        <w:pStyle w:val="a4"/>
        <w:ind w:left="794"/>
        <w:jc w:val="both"/>
        <w:rPr>
          <w:rFonts w:ascii="Arial" w:hAnsi="Arial"/>
          <w:noProof w:val="0"/>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לבקשת הנושה מונה ביום 16.11.2015 בא כוחה, המבקש 1, כמנהל עיזבון נוסף לנכסי המנוחים, תוך שבית חייבו לפעול, בין השאר, למיצוי זכויות כלל הצדדים לקבלת הנחות </w:t>
      </w:r>
      <w:proofErr w:type="spellStart"/>
      <w:r>
        <w:rPr>
          <w:rFonts w:ascii="Arial" w:hAnsi="Arial" w:hint="cs"/>
          <w:noProof w:val="0"/>
          <w:rtl/>
        </w:rPr>
        <w:t>ממרשתו</w:t>
      </w:r>
      <w:proofErr w:type="spellEnd"/>
      <w:r>
        <w:rPr>
          <w:rFonts w:ascii="Arial" w:hAnsi="Arial" w:hint="cs"/>
          <w:noProof w:val="0"/>
          <w:rtl/>
        </w:rPr>
        <w:t xml:space="preserve">. </w:t>
      </w:r>
    </w:p>
    <w:p w:rsidR="004B0B88" w:rsidRPr="00611F73"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sidRPr="00B26985">
        <w:rPr>
          <w:rFonts w:ascii="Arial" w:hAnsi="Arial" w:hint="cs"/>
          <w:noProof w:val="0"/>
          <w:rtl/>
        </w:rPr>
        <w:t xml:space="preserve">לאחר שנתקבלה </w:t>
      </w:r>
      <w:r>
        <w:rPr>
          <w:rFonts w:ascii="Arial" w:hAnsi="Arial" w:hint="cs"/>
          <w:noProof w:val="0"/>
          <w:rtl/>
        </w:rPr>
        <w:t xml:space="preserve">בתיק בית המשפט </w:t>
      </w:r>
      <w:r w:rsidRPr="00B26985">
        <w:rPr>
          <w:rFonts w:ascii="Arial" w:hAnsi="Arial" w:hint="cs"/>
          <w:noProof w:val="0"/>
          <w:rtl/>
        </w:rPr>
        <w:t>חוות דעת שמאי בעניין שווי הנכס, פנו המבקשים בבקשה למתן הוראות שעניינה מכירת הנכס ופינויו, בעוד המשיבה 1 התנגדה לפינוי</w:t>
      </w:r>
      <w:r>
        <w:rPr>
          <w:rFonts w:ascii="Arial" w:hAnsi="Arial" w:hint="cs"/>
          <w:noProof w:val="0"/>
          <w:rtl/>
        </w:rPr>
        <w:t>.</w:t>
      </w:r>
    </w:p>
    <w:p w:rsidR="004B0B88" w:rsidRPr="00B26985"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sidRPr="00D454FF">
        <w:rPr>
          <w:rFonts w:ascii="Arial" w:hAnsi="Arial" w:hint="cs"/>
          <w:noProof w:val="0"/>
          <w:rtl/>
        </w:rPr>
        <w:t xml:space="preserve">בהחלטתו מיום 30.06.2017 הורה בית המשפט קמא למשיבה 1 לפנות את הנכס תוך חודש ימים, ובהמשך נדחה מועד הפינוי לחודש אפריל 2018. </w:t>
      </w:r>
    </w:p>
    <w:p w:rsidR="004B0B88" w:rsidRPr="00D454FF"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sidRPr="00881C45">
        <w:rPr>
          <w:rFonts w:ascii="Arial" w:hAnsi="Arial" w:hint="cs"/>
          <w:noProof w:val="0"/>
          <w:rtl/>
        </w:rPr>
        <w:t>המשיבה 1 הגישה בקשה לקבלת רשות ערעור על ההחלטה (</w:t>
      </w:r>
      <w:proofErr w:type="spellStart"/>
      <w:r w:rsidRPr="00881C45">
        <w:rPr>
          <w:rFonts w:ascii="Arial" w:hAnsi="Arial" w:hint="cs"/>
          <w:noProof w:val="0"/>
          <w:rtl/>
        </w:rPr>
        <w:t>עמ"ש</w:t>
      </w:r>
      <w:proofErr w:type="spellEnd"/>
      <w:r w:rsidRPr="00881C45">
        <w:rPr>
          <w:rFonts w:ascii="Arial" w:hAnsi="Arial" w:hint="cs"/>
          <w:noProof w:val="0"/>
          <w:rtl/>
        </w:rPr>
        <w:t xml:space="preserve"> 32226-06-18) והוחלט על בירורה בפני מותב </w:t>
      </w:r>
      <w:proofErr w:type="spellStart"/>
      <w:r w:rsidRPr="00881C45">
        <w:rPr>
          <w:rFonts w:ascii="Arial" w:hAnsi="Arial" w:hint="cs"/>
          <w:noProof w:val="0"/>
          <w:rtl/>
        </w:rPr>
        <w:t>תלתא</w:t>
      </w:r>
      <w:proofErr w:type="spellEnd"/>
      <w:r w:rsidRPr="00881C45">
        <w:rPr>
          <w:rFonts w:ascii="Arial" w:hAnsi="Arial" w:hint="cs"/>
          <w:noProof w:val="0"/>
          <w:rtl/>
        </w:rPr>
        <w:t xml:space="preserve">. ביום 22.05.2019 ניתן פסק דין בערעור, הנשען על הסכמת הצדדים, לפיו פינוי המשיבה 1 מהנכס יושעה לצורך בירור מצבת חובות העיזבון וחלקה המדויק של כל אחת מן היורשות בו.  </w:t>
      </w:r>
    </w:p>
    <w:p w:rsidR="004B0B88" w:rsidRPr="00881C45" w:rsidRDefault="004B0B88" w:rsidP="004B0B88">
      <w:pPr>
        <w:pStyle w:val="a4"/>
        <w:rPr>
          <w:rFonts w:ascii="Arial" w:hAnsi="Arial"/>
          <w:noProof w:val="0"/>
          <w:rtl/>
        </w:rPr>
      </w:pPr>
    </w:p>
    <w:p w:rsidR="004B0B88" w:rsidRDefault="004B0B88" w:rsidP="008D4DBB">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בהעדר הסכמה בין הצדדים בעניין, נדרש בית המשפט קמא לטענותיהם וביום 19.06.2022 הוציא תחת ידו החלטה ובה פירוט חובות העיזבון לנושה בגין אי תשלום הארנונה ויתרת המשכנתא שרבצה על הנכס לסילוק כלפי חברת עידוד בסך כולל של 380,000 ₪. כן נקבע, </w:t>
      </w:r>
      <w:r>
        <w:rPr>
          <w:rFonts w:ascii="Arial" w:hAnsi="Arial" w:hint="cs"/>
          <w:noProof w:val="0"/>
          <w:rtl/>
        </w:rPr>
        <w:lastRenderedPageBreak/>
        <w:t xml:space="preserve">כי למשיבה 1 חוב לעיריית </w:t>
      </w:r>
      <w:r w:rsidR="008D4DBB">
        <w:rPr>
          <w:rFonts w:ascii="Arial" w:hAnsi="Arial" w:hint="cs"/>
          <w:noProof w:val="0"/>
          <w:rtl/>
        </w:rPr>
        <w:t>...</w:t>
      </w:r>
      <w:r>
        <w:rPr>
          <w:rFonts w:ascii="Arial" w:hAnsi="Arial" w:hint="cs"/>
          <w:noProof w:val="0"/>
          <w:rtl/>
        </w:rPr>
        <w:t xml:space="preserve"> בסך 66,000 ₪ ולתאגיד המים העירוני בסך 14,000 ₪ (בגין השימוש שעשתה בנכס).</w:t>
      </w:r>
    </w:p>
    <w:p w:rsidR="004B0B88" w:rsidRPr="00480A48" w:rsidRDefault="004B0B88" w:rsidP="004B0B88">
      <w:pPr>
        <w:pStyle w:val="a4"/>
        <w:rPr>
          <w:rFonts w:ascii="Arial" w:hAnsi="Arial"/>
          <w:noProof w:val="0"/>
          <w:rtl/>
        </w:rPr>
      </w:pPr>
    </w:p>
    <w:p w:rsidR="004B0B88" w:rsidRDefault="004B0B88" w:rsidP="008D4DBB">
      <w:pPr>
        <w:pStyle w:val="a4"/>
        <w:spacing w:line="360" w:lineRule="auto"/>
        <w:ind w:left="794"/>
        <w:jc w:val="both"/>
        <w:rPr>
          <w:rFonts w:ascii="Arial" w:hAnsi="Arial"/>
          <w:noProof w:val="0"/>
          <w:rtl/>
        </w:rPr>
      </w:pPr>
      <w:r>
        <w:rPr>
          <w:rFonts w:ascii="Arial" w:hAnsi="Arial" w:hint="cs"/>
          <w:noProof w:val="0"/>
          <w:rtl/>
        </w:rPr>
        <w:t xml:space="preserve">כפועל יוצא מכך נקבע, כי מתוך תמורת המכר של הנכס זכאית כל אחת מן היורשות לסך של 245,000 ₪ ומחלקה של משיבה 1 יש לנכות 80,000 ₪ בגין חובותיה האמורים לעיריית </w:t>
      </w:r>
      <w:r w:rsidR="008D4DBB">
        <w:rPr>
          <w:rFonts w:ascii="Arial" w:hAnsi="Arial" w:hint="cs"/>
          <w:noProof w:val="0"/>
          <w:rtl/>
        </w:rPr>
        <w:t>...</w:t>
      </w:r>
      <w:r>
        <w:rPr>
          <w:rFonts w:ascii="Arial" w:hAnsi="Arial" w:hint="cs"/>
          <w:noProof w:val="0"/>
          <w:rtl/>
        </w:rPr>
        <w:t xml:space="preserve"> ולתאגיד המים. בנוסף נקבע, כי על המשיבה 1 לפנות הנכס עד לא יאוחר מיום 30.07.2022 אלא אם תשכור אותו למגוריה מן הרוכשת שזכתה בהתמחרות שקיימו מנהלי העיזבון.  </w:t>
      </w:r>
    </w:p>
    <w:p w:rsidR="004B0B88" w:rsidRDefault="004B0B88" w:rsidP="004B0B88">
      <w:pPr>
        <w:pStyle w:val="a4"/>
        <w:rPr>
          <w:rFonts w:ascii="Arial" w:hAnsi="Arial"/>
          <w:noProof w:val="0"/>
        </w:rPr>
      </w:pPr>
    </w:p>
    <w:p w:rsidR="004B0B88" w:rsidRDefault="004B0B88" w:rsidP="004B0B88">
      <w:pPr>
        <w:pStyle w:val="a4"/>
        <w:numPr>
          <w:ilvl w:val="0"/>
          <w:numId w:val="1"/>
        </w:numPr>
        <w:spacing w:line="360" w:lineRule="auto"/>
        <w:ind w:left="794" w:hanging="567"/>
        <w:jc w:val="both"/>
        <w:rPr>
          <w:rFonts w:ascii="Arial" w:hAnsi="Arial"/>
          <w:noProof w:val="0"/>
        </w:rPr>
      </w:pPr>
      <w:r w:rsidRPr="00480A48">
        <w:rPr>
          <w:rFonts w:ascii="Arial" w:hAnsi="Arial" w:hint="cs"/>
          <w:noProof w:val="0"/>
          <w:rtl/>
        </w:rPr>
        <w:t xml:space="preserve">ביום 06.07.2023 פנו המבקשים לבית המשפט בבקשה </w:t>
      </w:r>
      <w:r>
        <w:rPr>
          <w:rFonts w:ascii="Arial" w:hAnsi="Arial" w:hint="cs"/>
          <w:noProof w:val="0"/>
          <w:rtl/>
        </w:rPr>
        <w:t>(</w:t>
      </w:r>
      <w:r w:rsidRPr="00480A48">
        <w:rPr>
          <w:rFonts w:ascii="Arial" w:hAnsi="Arial" w:hint="cs"/>
          <w:noProof w:val="0"/>
          <w:rtl/>
        </w:rPr>
        <w:t>הנושאת כותרת "הודעה"</w:t>
      </w:r>
      <w:r>
        <w:rPr>
          <w:rFonts w:ascii="Arial" w:hAnsi="Arial" w:hint="cs"/>
          <w:noProof w:val="0"/>
          <w:rtl/>
        </w:rPr>
        <w:t>)</w:t>
      </w:r>
      <w:r w:rsidRPr="00480A48">
        <w:rPr>
          <w:rFonts w:ascii="Arial" w:hAnsi="Arial" w:hint="cs"/>
          <w:noProof w:val="0"/>
          <w:rtl/>
        </w:rPr>
        <w:t xml:space="preserve"> ובה עתרו להותרת סכום בשיעור 4% בצירוף מע"מ מגובה תמורת המכר של הנכס על מנת להבטיח שכרם לאחר שתוגש על ידם בקשה </w:t>
      </w:r>
      <w:r>
        <w:rPr>
          <w:rFonts w:ascii="Arial" w:hAnsi="Arial" w:hint="cs"/>
          <w:noProof w:val="0"/>
          <w:rtl/>
        </w:rPr>
        <w:t xml:space="preserve">מפורטת ובה </w:t>
      </w:r>
      <w:r w:rsidRPr="00480A48">
        <w:rPr>
          <w:rFonts w:ascii="Arial" w:hAnsi="Arial" w:hint="cs"/>
          <w:noProof w:val="0"/>
          <w:rtl/>
        </w:rPr>
        <w:t xml:space="preserve">היקף פעילותם בהליך.    </w:t>
      </w:r>
    </w:p>
    <w:p w:rsidR="004B0B88" w:rsidRDefault="004B0B88" w:rsidP="004B0B88">
      <w:pPr>
        <w:pStyle w:val="a4"/>
        <w:spacing w:line="360" w:lineRule="auto"/>
        <w:ind w:left="794"/>
        <w:jc w:val="both"/>
        <w:rPr>
          <w:rFonts w:ascii="Arial" w:hAnsi="Arial"/>
          <w:noProof w:val="0"/>
        </w:rPr>
      </w:pPr>
      <w:r>
        <w:rPr>
          <w:rFonts w:ascii="Arial" w:hAnsi="Arial" w:hint="cs"/>
          <w:noProof w:val="0"/>
          <w:rtl/>
        </w:rPr>
        <w:t xml:space="preserve">בית המשפט נעתר למבוקש. </w:t>
      </w:r>
    </w:p>
    <w:p w:rsidR="004B0B88" w:rsidRPr="00480A48" w:rsidRDefault="004B0B88" w:rsidP="004B0B88">
      <w:pPr>
        <w:pStyle w:val="a4"/>
        <w:spacing w:line="360" w:lineRule="auto"/>
        <w:ind w:left="794"/>
        <w:jc w:val="both"/>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המשיבה 1 הגישה בקשת רשות לערער על ההחלטה מיום 19.06.2022 (</w:t>
      </w:r>
      <w:proofErr w:type="spellStart"/>
      <w:r>
        <w:rPr>
          <w:rFonts w:ascii="Arial" w:hAnsi="Arial" w:hint="cs"/>
          <w:noProof w:val="0"/>
          <w:rtl/>
        </w:rPr>
        <w:t>רמ"ש</w:t>
      </w:r>
      <w:proofErr w:type="spellEnd"/>
      <w:r>
        <w:rPr>
          <w:rFonts w:ascii="Arial" w:hAnsi="Arial" w:hint="cs"/>
          <w:noProof w:val="0"/>
          <w:rtl/>
        </w:rPr>
        <w:t xml:space="preserve"> 60088-07-22). שהתבררה כערעור, נדונה בפני מותב </w:t>
      </w:r>
      <w:proofErr w:type="spellStart"/>
      <w:r>
        <w:rPr>
          <w:rFonts w:ascii="Arial" w:hAnsi="Arial" w:hint="cs"/>
          <w:noProof w:val="0"/>
          <w:rtl/>
        </w:rPr>
        <w:t>תלתא</w:t>
      </w:r>
      <w:proofErr w:type="spellEnd"/>
      <w:r>
        <w:rPr>
          <w:rFonts w:ascii="Arial" w:hAnsi="Arial" w:hint="cs"/>
          <w:noProof w:val="0"/>
          <w:rtl/>
        </w:rPr>
        <w:t xml:space="preserve"> והוכרעה בפסק דין מיום 22.02.2023 שניתן בהסכמה, לפיו הקביעה בדבר ניכוי הסך של 80,000 ₪ מחלקה של המשיבה 1 בתמורת המכר תבוטל ואילו יתר רכיבי ההחלטה נושא הערעור יוותרו על כנם.</w:t>
      </w:r>
    </w:p>
    <w:p w:rsidR="004B0B88" w:rsidRPr="00E61B24"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בהתאם, ניתנה ביום 31.05.2023 החלטת בית המשפט קמא בגדרה הורה למבקשים להעביר למשיבה 1 היתרה לה היא זכאית מתוך תמורת המכר בסך 97,000 ₪ (103,000 ₪ בניכוי 6,000 ₪ בגין האיחור במסירת הנכס). </w:t>
      </w:r>
    </w:p>
    <w:p w:rsidR="004B0B88" w:rsidRPr="00D377E7" w:rsidRDefault="004B0B88" w:rsidP="004B0B88">
      <w:pPr>
        <w:pStyle w:val="a4"/>
        <w:rPr>
          <w:rFonts w:ascii="Arial" w:hAnsi="Arial"/>
          <w:noProof w:val="0"/>
          <w:rtl/>
        </w:rPr>
      </w:pPr>
    </w:p>
    <w:p w:rsidR="004B0B88" w:rsidRDefault="004B0B88" w:rsidP="008D4DBB">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בעקבות זאת פנו המבקשים לבית המשפט קמא בבקשה </w:t>
      </w:r>
      <w:proofErr w:type="spellStart"/>
      <w:r>
        <w:rPr>
          <w:rFonts w:ascii="Arial" w:hAnsi="Arial" w:hint="cs"/>
          <w:noProof w:val="0"/>
          <w:rtl/>
        </w:rPr>
        <w:t>הנסובה</w:t>
      </w:r>
      <w:proofErr w:type="spellEnd"/>
      <w:r>
        <w:rPr>
          <w:rFonts w:ascii="Arial" w:hAnsi="Arial" w:hint="cs"/>
          <w:noProof w:val="0"/>
          <w:rtl/>
        </w:rPr>
        <w:t xml:space="preserve"> סביב שימוש בכספי תמורת המכר שבידם, לרבות תשלום חוב העיזבון לנושה, הותרת חלקה של משיבה 1 בשכר טרחתם  (בסך 16,146 ₪) בקופת העיזבון והעברת סך של כ- 80,000 ₪ מתוך חלקה של משיבה 1 בתמורת המכר לתיק הוצל"פ בהתאם לצו העיקול שהוטל ע"י עיריית </w:t>
      </w:r>
      <w:r w:rsidR="008D4DBB">
        <w:rPr>
          <w:rFonts w:ascii="Arial" w:hAnsi="Arial" w:hint="cs"/>
          <w:noProof w:val="0"/>
          <w:rtl/>
        </w:rPr>
        <w:t>...</w:t>
      </w:r>
      <w:r>
        <w:rPr>
          <w:rFonts w:ascii="Arial" w:hAnsi="Arial" w:hint="cs"/>
          <w:noProof w:val="0"/>
          <w:rtl/>
        </w:rPr>
        <w:t xml:space="preserve"> בגין חובה כלפיה. </w:t>
      </w:r>
    </w:p>
    <w:p w:rsidR="004B0B88" w:rsidRPr="0042365A" w:rsidRDefault="004B0B88" w:rsidP="004B0B88">
      <w:pPr>
        <w:pStyle w:val="a4"/>
        <w:rPr>
          <w:rFonts w:ascii="Arial" w:hAnsi="Arial"/>
          <w:noProof w:val="0"/>
          <w:rtl/>
        </w:rPr>
      </w:pPr>
    </w:p>
    <w:p w:rsidR="004B0B88" w:rsidRDefault="004B0B88" w:rsidP="008D4DBB">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ביום 08.08.2023 ניתנה החלטה בבקשה ובה נקבע לאמור: </w:t>
      </w:r>
      <w:r w:rsidRPr="00BE0C81">
        <w:rPr>
          <w:rFonts w:ascii="Arial" w:hAnsi="Arial" w:hint="cs"/>
          <w:b/>
          <w:bCs/>
          <w:noProof w:val="0"/>
          <w:rtl/>
        </w:rPr>
        <w:t xml:space="preserve">"לאור החלטתי מיום 31.05.2023, מובהר כי מתוך הסכום המגיע לכל אחת משלוש היורשות, רשאים מנהלי </w:t>
      </w:r>
      <w:proofErr w:type="spellStart"/>
      <w:r w:rsidRPr="00BE0C81">
        <w:rPr>
          <w:rFonts w:ascii="Arial" w:hAnsi="Arial" w:hint="cs"/>
          <w:b/>
          <w:bCs/>
          <w:noProof w:val="0"/>
          <w:rtl/>
        </w:rPr>
        <w:t>העזבון</w:t>
      </w:r>
      <w:proofErr w:type="spellEnd"/>
      <w:r w:rsidRPr="00BE0C81">
        <w:rPr>
          <w:rFonts w:ascii="Arial" w:hAnsi="Arial" w:hint="cs"/>
          <w:b/>
          <w:bCs/>
          <w:noProof w:val="0"/>
          <w:rtl/>
        </w:rPr>
        <w:t xml:space="preserve"> לנכות 1/3 מתוך 4% בצירוף מע"מ. מובהר כי לאור החלטתו המפורשת של בית המשפט המחוזי, אין כל מקום לקיזוז תשלומי ארנונה ו/או מים. הואיל וזכאית לקבל 97,000 ₪, ניתן לקזז מחלקה שכ"ט בסך 1,513 ₪. מנהלי </w:t>
      </w:r>
      <w:proofErr w:type="spellStart"/>
      <w:r w:rsidRPr="00BE0C81">
        <w:rPr>
          <w:rFonts w:ascii="Arial" w:hAnsi="Arial" w:hint="cs"/>
          <w:b/>
          <w:bCs/>
          <w:noProof w:val="0"/>
          <w:rtl/>
        </w:rPr>
        <w:t>העזבון</w:t>
      </w:r>
      <w:proofErr w:type="spellEnd"/>
      <w:r w:rsidRPr="00BE0C81">
        <w:rPr>
          <w:rFonts w:ascii="Arial" w:hAnsi="Arial" w:hint="cs"/>
          <w:b/>
          <w:bCs/>
          <w:noProof w:val="0"/>
          <w:rtl/>
        </w:rPr>
        <w:t xml:space="preserve"> יעבירו לגב' </w:t>
      </w:r>
      <w:r w:rsidR="008D4DBB">
        <w:rPr>
          <w:rFonts w:ascii="Arial" w:hAnsi="Arial" w:hint="cs"/>
          <w:b/>
          <w:bCs/>
          <w:noProof w:val="0"/>
          <w:rtl/>
        </w:rPr>
        <w:t>...</w:t>
      </w:r>
      <w:r w:rsidR="008D4DBB">
        <w:rPr>
          <w:rFonts w:ascii="Arial" w:hAnsi="Arial" w:hint="cs"/>
          <w:noProof w:val="0"/>
          <w:rtl/>
        </w:rPr>
        <w:t xml:space="preserve">(משיבה 1 </w:t>
      </w:r>
      <w:r w:rsidR="008D4DBB">
        <w:rPr>
          <w:rFonts w:ascii="Arial" w:hAnsi="Arial"/>
          <w:noProof w:val="0"/>
          <w:rtl/>
        </w:rPr>
        <w:t>–</w:t>
      </w:r>
      <w:r w:rsidR="008D4DBB">
        <w:rPr>
          <w:rFonts w:ascii="Arial" w:hAnsi="Arial" w:hint="cs"/>
          <w:noProof w:val="0"/>
          <w:rtl/>
        </w:rPr>
        <w:t xml:space="preserve"> </w:t>
      </w:r>
      <w:proofErr w:type="spellStart"/>
      <w:r w:rsidR="008D4DBB">
        <w:rPr>
          <w:rFonts w:ascii="Arial" w:hAnsi="Arial" w:hint="cs"/>
          <w:noProof w:val="0"/>
          <w:rtl/>
        </w:rPr>
        <w:t>פ.ג.כ</w:t>
      </w:r>
      <w:proofErr w:type="spellEnd"/>
      <w:r w:rsidR="008D4DBB">
        <w:rPr>
          <w:rFonts w:ascii="Arial" w:hAnsi="Arial" w:hint="cs"/>
          <w:noProof w:val="0"/>
          <w:rtl/>
        </w:rPr>
        <w:t>)</w:t>
      </w:r>
      <w:r w:rsidRPr="00BE0C81">
        <w:rPr>
          <w:rFonts w:ascii="Arial" w:hAnsi="Arial" w:hint="cs"/>
          <w:b/>
          <w:bCs/>
          <w:noProof w:val="0"/>
          <w:rtl/>
        </w:rPr>
        <w:t xml:space="preserve"> את היתרה בגובה 95,487 ₪, כאשר ימי הפגרה יבואו במניין הימים"</w:t>
      </w:r>
      <w:r>
        <w:rPr>
          <w:rFonts w:ascii="Arial" w:hAnsi="Arial" w:hint="cs"/>
          <w:noProof w:val="0"/>
          <w:rtl/>
        </w:rPr>
        <w:t xml:space="preserve">. </w:t>
      </w:r>
    </w:p>
    <w:p w:rsidR="004B0B88" w:rsidRPr="008902B3"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lastRenderedPageBreak/>
        <w:t xml:space="preserve">למחרת היום הוגשה ע"י המבקשים בקשה שהוגדרה כדחופה בגדרה עתרו לקיום דיון נוכח ההחלטות השונות שניתנו וכדי למנוע סתירה ביניהן. </w:t>
      </w:r>
    </w:p>
    <w:p w:rsidR="004B0B88" w:rsidRPr="00CD6A2F" w:rsidRDefault="004B0B88" w:rsidP="004B0B88">
      <w:pPr>
        <w:pStyle w:val="a4"/>
        <w:rPr>
          <w:rFonts w:ascii="Arial" w:hAnsi="Arial"/>
          <w:noProof w:val="0"/>
          <w:rtl/>
        </w:rPr>
      </w:pPr>
    </w:p>
    <w:p w:rsidR="004B0B88" w:rsidRDefault="004B0B88" w:rsidP="008D4DBB">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לאחר שהוגשו תגובות הדדיות מטעם הצדדים, ניתנה ביום 23.10.2023 ההחלטה נושא הבקשה שלפניי בגדרה נקבע, בין היתר, לאמור: </w:t>
      </w:r>
      <w:r w:rsidRPr="005F48B4">
        <w:rPr>
          <w:rFonts w:ascii="Arial" w:hAnsi="Arial" w:hint="cs"/>
          <w:b/>
          <w:bCs/>
          <w:noProof w:val="0"/>
          <w:rtl/>
        </w:rPr>
        <w:t xml:space="preserve">"... בהחלטה מפורטת מיום 31/5/23 נקבע כי הואיל והגב' </w:t>
      </w:r>
      <w:r w:rsidR="008D4DBB">
        <w:rPr>
          <w:rFonts w:ascii="Arial" w:hAnsi="Arial" w:hint="cs"/>
          <w:b/>
          <w:bCs/>
          <w:noProof w:val="0"/>
          <w:rtl/>
        </w:rPr>
        <w:t>...</w:t>
      </w:r>
      <w:r w:rsidR="008D4DBB">
        <w:rPr>
          <w:rFonts w:ascii="Arial" w:hAnsi="Arial" w:hint="cs"/>
          <w:noProof w:val="0"/>
          <w:rtl/>
        </w:rPr>
        <w:t xml:space="preserve">(משיבה 1 </w:t>
      </w:r>
      <w:r w:rsidR="008D4DBB">
        <w:rPr>
          <w:rFonts w:ascii="Arial" w:hAnsi="Arial"/>
          <w:noProof w:val="0"/>
          <w:rtl/>
        </w:rPr>
        <w:t>–</w:t>
      </w:r>
      <w:r w:rsidR="008D4DBB">
        <w:rPr>
          <w:rFonts w:ascii="Arial" w:hAnsi="Arial" w:hint="cs"/>
          <w:noProof w:val="0"/>
          <w:rtl/>
        </w:rPr>
        <w:t xml:space="preserve"> </w:t>
      </w:r>
      <w:proofErr w:type="spellStart"/>
      <w:r w:rsidR="008D4DBB">
        <w:rPr>
          <w:rFonts w:ascii="Arial" w:hAnsi="Arial" w:hint="cs"/>
          <w:noProof w:val="0"/>
          <w:rtl/>
        </w:rPr>
        <w:t>פ.ג.כ</w:t>
      </w:r>
      <w:proofErr w:type="spellEnd"/>
      <w:r w:rsidR="008D4DBB">
        <w:rPr>
          <w:rFonts w:ascii="Arial" w:hAnsi="Arial" w:hint="cs"/>
          <w:noProof w:val="0"/>
          <w:rtl/>
        </w:rPr>
        <w:t>)</w:t>
      </w:r>
      <w:r w:rsidRPr="005F48B4">
        <w:rPr>
          <w:rFonts w:ascii="Arial" w:hAnsi="Arial" w:hint="cs"/>
          <w:b/>
          <w:bCs/>
          <w:noProof w:val="0"/>
          <w:rtl/>
        </w:rPr>
        <w:t xml:space="preserve"> קיבלה עד כה 142,000 ₪, מהם יקוזזו 6,000 ₪ בשל העיכוב במסירה הדירה</w:t>
      </w:r>
      <w:r>
        <w:rPr>
          <w:rFonts w:ascii="Arial" w:hAnsi="Arial" w:hint="cs"/>
          <w:b/>
          <w:bCs/>
          <w:noProof w:val="0"/>
          <w:rtl/>
        </w:rPr>
        <w:t xml:space="preserve"> </w:t>
      </w:r>
      <w:r w:rsidRPr="00E44C4A">
        <w:rPr>
          <w:rFonts w:ascii="Arial" w:hAnsi="Arial" w:hint="cs"/>
          <w:noProof w:val="0"/>
          <w:rtl/>
        </w:rPr>
        <w:t>(כך במקור</w:t>
      </w:r>
      <w:r>
        <w:rPr>
          <w:rFonts w:ascii="Arial" w:hAnsi="Arial" w:hint="cs"/>
          <w:noProof w:val="0"/>
          <w:rtl/>
        </w:rPr>
        <w:t xml:space="preserve"> </w:t>
      </w:r>
      <w:r>
        <w:rPr>
          <w:rFonts w:ascii="Arial" w:hAnsi="Arial"/>
          <w:noProof w:val="0"/>
          <w:rtl/>
        </w:rPr>
        <w:t>–</w:t>
      </w:r>
      <w:r>
        <w:rPr>
          <w:rFonts w:ascii="Arial" w:hAnsi="Arial" w:hint="cs"/>
          <w:noProof w:val="0"/>
          <w:rtl/>
        </w:rPr>
        <w:t xml:space="preserve"> </w:t>
      </w:r>
      <w:proofErr w:type="spellStart"/>
      <w:r>
        <w:rPr>
          <w:rFonts w:ascii="Arial" w:hAnsi="Arial" w:hint="cs"/>
          <w:noProof w:val="0"/>
          <w:rtl/>
        </w:rPr>
        <w:t>פ.ג.כ</w:t>
      </w:r>
      <w:proofErr w:type="spellEnd"/>
      <w:r>
        <w:rPr>
          <w:rFonts w:ascii="Arial" w:hAnsi="Arial" w:hint="cs"/>
          <w:noProof w:val="0"/>
          <w:rtl/>
        </w:rPr>
        <w:t>.</w:t>
      </w:r>
      <w:r w:rsidRPr="00E44C4A">
        <w:rPr>
          <w:rFonts w:ascii="Arial" w:hAnsi="Arial" w:hint="cs"/>
          <w:noProof w:val="0"/>
          <w:rtl/>
        </w:rPr>
        <w:t>)</w:t>
      </w:r>
      <w:r w:rsidRPr="005F48B4">
        <w:rPr>
          <w:rFonts w:ascii="Arial" w:hAnsi="Arial" w:hint="cs"/>
          <w:b/>
          <w:bCs/>
          <w:noProof w:val="0"/>
          <w:rtl/>
        </w:rPr>
        <w:t xml:space="preserve">, תקבל 97,000 ₪. בהחלטה מיום 8/8/23 נקבע כי לאחר הפחתת שכ"ט מנהלי </w:t>
      </w:r>
      <w:proofErr w:type="spellStart"/>
      <w:r w:rsidRPr="005F48B4">
        <w:rPr>
          <w:rFonts w:ascii="Arial" w:hAnsi="Arial" w:hint="cs"/>
          <w:b/>
          <w:bCs/>
          <w:noProof w:val="0"/>
          <w:rtl/>
        </w:rPr>
        <w:t>העזבון</w:t>
      </w:r>
      <w:proofErr w:type="spellEnd"/>
      <w:r w:rsidRPr="005F48B4">
        <w:rPr>
          <w:rFonts w:ascii="Arial" w:hAnsi="Arial" w:hint="cs"/>
          <w:b/>
          <w:bCs/>
          <w:noProof w:val="0"/>
          <w:rtl/>
        </w:rPr>
        <w:t xml:space="preserve">, יעבירו לה חלקה בגובה 95,487 ₪. מהודעת מנהלי </w:t>
      </w:r>
      <w:proofErr w:type="spellStart"/>
      <w:r w:rsidRPr="005F48B4">
        <w:rPr>
          <w:rFonts w:ascii="Arial" w:hAnsi="Arial" w:hint="cs"/>
          <w:b/>
          <w:bCs/>
          <w:noProof w:val="0"/>
          <w:rtl/>
        </w:rPr>
        <w:t>העזבון</w:t>
      </w:r>
      <w:proofErr w:type="spellEnd"/>
      <w:r w:rsidRPr="005F48B4">
        <w:rPr>
          <w:rFonts w:ascii="Arial" w:hAnsi="Arial" w:hint="cs"/>
          <w:b/>
          <w:bCs/>
          <w:noProof w:val="0"/>
          <w:rtl/>
        </w:rPr>
        <w:t xml:space="preserve"> עולה כי חרף דברים מפורשים אלה, עשו דין לעצמם וביום 12/9/23 העבירו לקופת ההוצל"פ 80,854 ₪, במסגרת תיק הוצל"פ </w:t>
      </w:r>
      <w:r w:rsidR="008D4DBB">
        <w:rPr>
          <w:rFonts w:ascii="Arial" w:hAnsi="Arial" w:hint="cs"/>
          <w:b/>
          <w:bCs/>
          <w:noProof w:val="0"/>
          <w:rtl/>
        </w:rPr>
        <w:t>....</w:t>
      </w:r>
      <w:r w:rsidRPr="005F48B4">
        <w:rPr>
          <w:rFonts w:ascii="Arial" w:hAnsi="Arial" w:hint="cs"/>
          <w:b/>
          <w:bCs/>
          <w:noProof w:val="0"/>
          <w:rtl/>
        </w:rPr>
        <w:t xml:space="preserve"> אותו פתחה העירייה עצמה (המיוצגת ע"י </w:t>
      </w:r>
      <w:r w:rsidR="008D4DBB">
        <w:rPr>
          <w:rFonts w:ascii="Arial" w:hAnsi="Arial" w:hint="cs"/>
          <w:b/>
          <w:bCs/>
          <w:noProof w:val="0"/>
          <w:rtl/>
        </w:rPr>
        <w:t>...</w:t>
      </w:r>
      <w:r w:rsidRPr="005F48B4">
        <w:rPr>
          <w:rFonts w:ascii="Arial" w:hAnsi="Arial" w:hint="cs"/>
          <w:b/>
          <w:bCs/>
          <w:noProof w:val="0"/>
          <w:rtl/>
        </w:rPr>
        <w:t xml:space="preserve"> </w:t>
      </w:r>
      <w:r w:rsidR="008D4DBB">
        <w:rPr>
          <w:rFonts w:ascii="Arial" w:hAnsi="Arial" w:hint="cs"/>
          <w:noProof w:val="0"/>
          <w:rtl/>
        </w:rPr>
        <w:t xml:space="preserve">(מבקש 1 </w:t>
      </w:r>
      <w:r w:rsidR="008D4DBB">
        <w:rPr>
          <w:rFonts w:ascii="Arial" w:hAnsi="Arial"/>
          <w:noProof w:val="0"/>
          <w:rtl/>
        </w:rPr>
        <w:t>–</w:t>
      </w:r>
      <w:r w:rsidR="008D4DBB">
        <w:rPr>
          <w:rFonts w:ascii="Arial" w:hAnsi="Arial" w:hint="cs"/>
          <w:noProof w:val="0"/>
          <w:rtl/>
        </w:rPr>
        <w:t xml:space="preserve"> </w:t>
      </w:r>
      <w:proofErr w:type="spellStart"/>
      <w:r w:rsidR="008D4DBB">
        <w:rPr>
          <w:rFonts w:ascii="Arial" w:hAnsi="Arial" w:hint="cs"/>
          <w:noProof w:val="0"/>
          <w:rtl/>
        </w:rPr>
        <w:t>פ.ג.כ</w:t>
      </w:r>
      <w:proofErr w:type="spellEnd"/>
      <w:r w:rsidR="008D4DBB">
        <w:rPr>
          <w:rFonts w:ascii="Arial" w:hAnsi="Arial" w:hint="cs"/>
          <w:noProof w:val="0"/>
          <w:rtl/>
        </w:rPr>
        <w:t xml:space="preserve">) </w:t>
      </w:r>
      <w:r w:rsidRPr="005F48B4">
        <w:rPr>
          <w:rFonts w:ascii="Arial" w:hAnsi="Arial" w:hint="cs"/>
          <w:b/>
          <w:bCs/>
          <w:noProof w:val="0"/>
          <w:rtl/>
        </w:rPr>
        <w:t xml:space="preserve">המשמש מנהל עזבון מטעמה) כאשר החוב בגינו נפתח תיק זה הוא החוב שאין לגבות לפי החלטת בית המשפט המחוזי... לפיכך אני מורה כי מנהלי </w:t>
      </w:r>
      <w:proofErr w:type="spellStart"/>
      <w:r w:rsidRPr="005F48B4">
        <w:rPr>
          <w:rFonts w:ascii="Arial" w:hAnsi="Arial" w:hint="cs"/>
          <w:b/>
          <w:bCs/>
          <w:noProof w:val="0"/>
          <w:rtl/>
        </w:rPr>
        <w:t>העזבון</w:t>
      </w:r>
      <w:proofErr w:type="spellEnd"/>
      <w:r w:rsidRPr="005F48B4">
        <w:rPr>
          <w:rFonts w:ascii="Arial" w:hAnsi="Arial" w:hint="cs"/>
          <w:b/>
          <w:bCs/>
          <w:noProof w:val="0"/>
          <w:rtl/>
        </w:rPr>
        <w:t xml:space="preserve"> ידאגו לכך שהגב' </w:t>
      </w:r>
      <w:r w:rsidR="008D4DBB">
        <w:rPr>
          <w:rFonts w:ascii="Arial" w:hAnsi="Arial" w:hint="cs"/>
          <w:b/>
          <w:bCs/>
          <w:noProof w:val="0"/>
          <w:rtl/>
        </w:rPr>
        <w:t xml:space="preserve">... </w:t>
      </w:r>
      <w:r w:rsidR="008D4DBB">
        <w:rPr>
          <w:rFonts w:ascii="Arial" w:hAnsi="Arial" w:hint="cs"/>
          <w:noProof w:val="0"/>
          <w:rtl/>
        </w:rPr>
        <w:t xml:space="preserve">(משיבה 1 </w:t>
      </w:r>
      <w:r w:rsidR="008D4DBB">
        <w:rPr>
          <w:rFonts w:ascii="Arial" w:hAnsi="Arial"/>
          <w:noProof w:val="0"/>
          <w:rtl/>
        </w:rPr>
        <w:t>–</w:t>
      </w:r>
      <w:r w:rsidR="008D4DBB">
        <w:rPr>
          <w:rFonts w:ascii="Arial" w:hAnsi="Arial" w:hint="cs"/>
          <w:noProof w:val="0"/>
          <w:rtl/>
        </w:rPr>
        <w:t xml:space="preserve"> </w:t>
      </w:r>
      <w:proofErr w:type="spellStart"/>
      <w:r w:rsidR="008D4DBB">
        <w:rPr>
          <w:rFonts w:ascii="Arial" w:hAnsi="Arial" w:hint="cs"/>
          <w:noProof w:val="0"/>
          <w:rtl/>
        </w:rPr>
        <w:t>פ.ג.כ</w:t>
      </w:r>
      <w:proofErr w:type="spellEnd"/>
      <w:r w:rsidR="008D4DBB">
        <w:rPr>
          <w:rFonts w:ascii="Arial" w:hAnsi="Arial" w:hint="cs"/>
          <w:noProof w:val="0"/>
          <w:rtl/>
        </w:rPr>
        <w:t>)</w:t>
      </w:r>
      <w:r w:rsidRPr="005F48B4">
        <w:rPr>
          <w:rFonts w:ascii="Arial" w:hAnsi="Arial" w:hint="cs"/>
          <w:b/>
          <w:bCs/>
          <w:noProof w:val="0"/>
          <w:rtl/>
        </w:rPr>
        <w:t xml:space="preserve"> תקבל חלקה בגובה 95,487 ₪ עד ליום 30/10/23..."</w:t>
      </w:r>
      <w:r>
        <w:rPr>
          <w:rFonts w:ascii="Arial" w:hAnsi="Arial" w:hint="cs"/>
          <w:noProof w:val="0"/>
          <w:rtl/>
        </w:rPr>
        <w:t xml:space="preserve">.  </w:t>
      </w:r>
    </w:p>
    <w:p w:rsidR="004B0B88" w:rsidRPr="00743CD2"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המבקשים לא השלימו עם ההחלטה והגישו בקשת רשות לערער עליה, ובד בבד עמה עתרו לעיכוב הביצוע שלה. </w:t>
      </w:r>
    </w:p>
    <w:p w:rsidR="004B0B88" w:rsidRPr="00AA4EA9"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sidRPr="00E44C4A">
        <w:rPr>
          <w:rFonts w:ascii="Arial" w:hAnsi="Arial" w:hint="cs"/>
          <w:noProof w:val="0"/>
          <w:rtl/>
        </w:rPr>
        <w:t>לאחר שהוגשה תגובת המשיבה 1 נדחתה ביום 05.11.2023 הבקשה לעיכוב הביצוע בהתבסס, בין השאר, על השיהוי בהגשת בקשת רשות הערעור</w:t>
      </w:r>
      <w:r>
        <w:rPr>
          <w:rFonts w:ascii="Arial" w:hAnsi="Arial" w:hint="cs"/>
          <w:noProof w:val="0"/>
          <w:rtl/>
        </w:rPr>
        <w:t xml:space="preserve"> וגם על כך שהיא מכוונת כנגד החלטה שעניינה חיוב כספי נוכח ההלכה הפסוקה שנתגבשה </w:t>
      </w:r>
      <w:proofErr w:type="spellStart"/>
      <w:r>
        <w:rPr>
          <w:rFonts w:ascii="Arial" w:hAnsi="Arial" w:hint="cs"/>
          <w:noProof w:val="0"/>
          <w:rtl/>
        </w:rPr>
        <w:t>בכגון</w:t>
      </w:r>
      <w:proofErr w:type="spellEnd"/>
      <w:r>
        <w:rPr>
          <w:rFonts w:ascii="Arial" w:hAnsi="Arial" w:hint="cs"/>
          <w:noProof w:val="0"/>
          <w:rtl/>
        </w:rPr>
        <w:t xml:space="preserve"> דא. </w:t>
      </w:r>
      <w:r w:rsidRPr="00E44C4A">
        <w:rPr>
          <w:rFonts w:ascii="Arial" w:hAnsi="Arial" w:hint="cs"/>
          <w:noProof w:val="0"/>
          <w:rtl/>
        </w:rPr>
        <w:t xml:space="preserve"> </w:t>
      </w:r>
    </w:p>
    <w:p w:rsidR="004B0B88" w:rsidRPr="00E44C4A"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Pr>
          <w:rFonts w:ascii="Arial" w:hAnsi="Arial" w:hint="cs"/>
          <w:noProof w:val="0"/>
          <w:rtl/>
        </w:rPr>
        <w:t xml:space="preserve">על יסוד האמור הועבר סך של 95,487 ₪ לחשבון הבנק של משיבה 1, ובקשתה לעיון מחדש בהחלטה המורה כן (שהוגשה לאחר העברת הכספים לחשבונה) נדחתה. </w:t>
      </w:r>
    </w:p>
    <w:p w:rsidR="004B0B88" w:rsidRPr="001A0F55" w:rsidRDefault="004B0B88" w:rsidP="004B0B88">
      <w:pPr>
        <w:pStyle w:val="a4"/>
        <w:rPr>
          <w:rFonts w:ascii="Arial" w:hAnsi="Arial"/>
          <w:noProof w:val="0"/>
          <w:rtl/>
        </w:rPr>
      </w:pPr>
    </w:p>
    <w:p w:rsidR="004B0B88" w:rsidRDefault="004B0B88" w:rsidP="004B0B88">
      <w:pPr>
        <w:pStyle w:val="a4"/>
        <w:numPr>
          <w:ilvl w:val="0"/>
          <w:numId w:val="1"/>
        </w:numPr>
        <w:spacing w:line="360" w:lineRule="auto"/>
        <w:ind w:left="794" w:hanging="567"/>
        <w:jc w:val="both"/>
        <w:rPr>
          <w:rFonts w:ascii="Arial" w:hAnsi="Arial"/>
          <w:noProof w:val="0"/>
        </w:rPr>
      </w:pPr>
      <w:r w:rsidRPr="00E44C4A">
        <w:rPr>
          <w:rFonts w:ascii="Arial" w:hAnsi="Arial" w:hint="cs"/>
          <w:noProof w:val="0"/>
          <w:rtl/>
        </w:rPr>
        <w:t>אף שבקשת רשות הערעור וההחלטה המורה למשיבים להגיב עליה נמסרה להם, לא הוגש על ידם מאום, ולכן עתרו המבקשים ל</w:t>
      </w:r>
      <w:r>
        <w:rPr>
          <w:rFonts w:ascii="Arial" w:hAnsi="Arial" w:hint="cs"/>
          <w:noProof w:val="0"/>
          <w:rtl/>
        </w:rPr>
        <w:t>הכרעה בבקשה גופה.</w:t>
      </w:r>
    </w:p>
    <w:p w:rsidR="004B0B88" w:rsidRPr="00E44C4A" w:rsidRDefault="004B0B88" w:rsidP="004B0B88">
      <w:pPr>
        <w:pStyle w:val="a4"/>
        <w:rPr>
          <w:rFonts w:ascii="Arial" w:hAnsi="Arial"/>
          <w:noProof w:val="0"/>
          <w:rtl/>
        </w:rPr>
      </w:pPr>
    </w:p>
    <w:p w:rsidR="004B0B88" w:rsidRDefault="004B0B88" w:rsidP="004B0B88">
      <w:pPr>
        <w:pStyle w:val="a4"/>
        <w:spacing w:after="160" w:line="360" w:lineRule="auto"/>
        <w:ind w:left="227"/>
        <w:jc w:val="both"/>
        <w:rPr>
          <w:rFonts w:ascii="David" w:eastAsia="Calibri" w:hAnsi="David"/>
          <w:b/>
          <w:bCs/>
          <w:noProof w:val="0"/>
          <w:sz w:val="26"/>
          <w:szCs w:val="26"/>
          <w:u w:val="single"/>
        </w:rPr>
      </w:pPr>
      <w:r>
        <w:rPr>
          <w:rFonts w:ascii="David" w:eastAsia="Calibri" w:hAnsi="David"/>
          <w:b/>
          <w:bCs/>
          <w:noProof w:val="0"/>
          <w:sz w:val="26"/>
          <w:szCs w:val="26"/>
          <w:u w:val="single"/>
          <w:rtl/>
        </w:rPr>
        <w:t xml:space="preserve">תמצית טענות </w:t>
      </w:r>
      <w:r>
        <w:rPr>
          <w:rFonts w:ascii="David" w:eastAsia="Calibri" w:hAnsi="David" w:hint="cs"/>
          <w:b/>
          <w:bCs/>
          <w:noProof w:val="0"/>
          <w:sz w:val="26"/>
          <w:szCs w:val="26"/>
          <w:u w:val="single"/>
          <w:rtl/>
        </w:rPr>
        <w:t>המבקשים</w:t>
      </w:r>
    </w:p>
    <w:p w:rsidR="004B0B88" w:rsidRDefault="004B0B88" w:rsidP="004B0B88">
      <w:pPr>
        <w:pStyle w:val="a4"/>
        <w:spacing w:after="160"/>
        <w:ind w:left="227"/>
        <w:jc w:val="both"/>
        <w:rPr>
          <w:rFonts w:ascii="David" w:eastAsia="Calibri" w:hAnsi="David"/>
          <w:b/>
          <w:bCs/>
          <w:noProof w:val="0"/>
          <w:sz w:val="26"/>
          <w:szCs w:val="26"/>
          <w:u w:val="single"/>
          <w:rtl/>
        </w:rPr>
      </w:pPr>
    </w:p>
    <w:p w:rsidR="004B0B88" w:rsidRDefault="004B0B88" w:rsidP="008D4DBB">
      <w:pPr>
        <w:pStyle w:val="a4"/>
        <w:numPr>
          <w:ilvl w:val="0"/>
          <w:numId w:val="1"/>
        </w:numPr>
        <w:spacing w:line="360" w:lineRule="auto"/>
        <w:ind w:left="794" w:hanging="567"/>
        <w:jc w:val="both"/>
        <w:rPr>
          <w:rFonts w:ascii="Arial" w:hAnsi="Arial"/>
          <w:noProof w:val="0"/>
          <w:rtl/>
        </w:rPr>
      </w:pPr>
      <w:r w:rsidRPr="007E3395">
        <w:rPr>
          <w:rFonts w:ascii="Arial" w:hAnsi="Arial"/>
          <w:noProof w:val="0"/>
          <w:rtl/>
        </w:rPr>
        <w:t>לטענת המבקש</w:t>
      </w:r>
      <w:r w:rsidRPr="007E3395">
        <w:rPr>
          <w:rFonts w:ascii="Arial" w:hAnsi="Arial" w:hint="cs"/>
          <w:noProof w:val="0"/>
          <w:rtl/>
        </w:rPr>
        <w:t>ים</w:t>
      </w:r>
      <w:r w:rsidRPr="007E3395">
        <w:rPr>
          <w:rFonts w:ascii="Arial" w:hAnsi="Arial"/>
          <w:noProof w:val="0"/>
          <w:rtl/>
        </w:rPr>
        <w:t>,</w:t>
      </w:r>
      <w:r>
        <w:rPr>
          <w:rFonts w:ascii="Arial" w:hAnsi="Arial"/>
          <w:noProof w:val="0"/>
          <w:rtl/>
        </w:rPr>
        <w:t xml:space="preserve"> </w:t>
      </w:r>
      <w:r>
        <w:rPr>
          <w:rFonts w:ascii="Arial" w:hAnsi="Arial" w:hint="cs"/>
          <w:noProof w:val="0"/>
          <w:rtl/>
        </w:rPr>
        <w:t xml:space="preserve">בית המשפט קמא שגה בהבנת פסק דינו של בית משפט זה מיום 22.02.2023 ובהתעלמו מצווי העיקול שהוטלו ע"י עיריית </w:t>
      </w:r>
      <w:r w:rsidR="008D4DBB">
        <w:rPr>
          <w:rFonts w:ascii="Arial" w:hAnsi="Arial" w:hint="cs"/>
          <w:noProof w:val="0"/>
          <w:rtl/>
        </w:rPr>
        <w:t>...</w:t>
      </w:r>
      <w:r>
        <w:rPr>
          <w:rFonts w:ascii="Arial" w:hAnsi="Arial" w:hint="cs"/>
          <w:noProof w:val="0"/>
          <w:rtl/>
        </w:rPr>
        <w:t xml:space="preserve"> על חלקה של המשיבה 1 בתמורת המכר; כן שגה בקבעו (במסגרת ההחלטה מיום 08.08.2023) כי מחלקה של המשיבה 1 יש לקזז סך של 1,513 ₪ בלבד, שהוא חלקה היחסי בשכר טרחתם, עת עסקינן בשני פרקליטים שמונו כמנהלי עיזבון ומשמשים בתפקידם משך כ </w:t>
      </w:r>
      <w:r>
        <w:rPr>
          <w:rFonts w:ascii="Arial" w:hAnsi="Arial"/>
          <w:noProof w:val="0"/>
          <w:rtl/>
        </w:rPr>
        <w:t>–</w:t>
      </w:r>
      <w:r>
        <w:rPr>
          <w:rFonts w:ascii="Arial" w:hAnsi="Arial" w:hint="cs"/>
          <w:noProof w:val="0"/>
          <w:rtl/>
        </w:rPr>
        <w:t xml:space="preserve"> 8 שנים; שעה שהחלטה זו עומדת בסתירה להחלטה החלוטה מיום 15.07.2022 בגדרה נקבע, כי יש להותיר בקופת העיזבון 4% מתמורת המכר של הנכס (שעמדה על 1,035,000 ₪), תוך </w:t>
      </w:r>
      <w:r>
        <w:rPr>
          <w:rFonts w:ascii="Arial" w:hAnsi="Arial" w:hint="cs"/>
          <w:noProof w:val="0"/>
          <w:rtl/>
        </w:rPr>
        <w:lastRenderedPageBreak/>
        <w:t xml:space="preserve">הותרת האפשרות להגשת בקשה נוספת על ידם לפסיקת תוספת שכר בגין מאמץ מיוחד נוכח היקף עבודתם בהליך; לדידם, הושקעה על ידם עבודה רבה אגב מילוי תפקידם שהשתרע על פני תקופה בת 8 שנים, ולווה בקשיים שהערימה המשיבה 1 על פינוי הנכס, השיא תמורה נאה עבור הנכס העולה על שוויו באשר נקבע ע"י השמאי מטעם בית המשפט, ניהול שני הליכי ערעור שכללו שלושה דיונים בבית משפט זה </w:t>
      </w:r>
      <w:r>
        <w:rPr>
          <w:rFonts w:ascii="Arial" w:hAnsi="Arial"/>
          <w:noProof w:val="0"/>
          <w:rtl/>
        </w:rPr>
        <w:t>–</w:t>
      </w:r>
      <w:r>
        <w:rPr>
          <w:rFonts w:ascii="Arial" w:hAnsi="Arial" w:hint="cs"/>
          <w:noProof w:val="0"/>
          <w:rtl/>
        </w:rPr>
        <w:t xml:space="preserve"> כל אלה מצדיקים, לשיטתם, פסיקת שכר נוסף בגין מאמץ מיוחד, כפי עתירתם בפני בית המשפט קמא ממנה התעלם ולא נדרש לה.   </w:t>
      </w:r>
    </w:p>
    <w:p w:rsidR="004B0B88" w:rsidRDefault="004B0B88" w:rsidP="004B0B88">
      <w:pPr>
        <w:pStyle w:val="a4"/>
        <w:ind w:left="1080"/>
        <w:jc w:val="both"/>
        <w:rPr>
          <w:rFonts w:ascii="Arial" w:hAnsi="Arial"/>
          <w:noProof w:val="0"/>
          <w:rtl/>
        </w:rPr>
      </w:pPr>
    </w:p>
    <w:p w:rsidR="004B0B88" w:rsidRDefault="004B0B88" w:rsidP="004B0B88">
      <w:pPr>
        <w:pStyle w:val="a4"/>
        <w:spacing w:after="160" w:line="360" w:lineRule="auto"/>
        <w:ind w:left="227"/>
        <w:jc w:val="both"/>
        <w:rPr>
          <w:rFonts w:ascii="David" w:eastAsia="Calibri" w:hAnsi="David"/>
          <w:b/>
          <w:bCs/>
          <w:noProof w:val="0"/>
          <w:sz w:val="26"/>
          <w:szCs w:val="26"/>
          <w:u w:val="single"/>
          <w:rtl/>
        </w:rPr>
      </w:pPr>
      <w:r>
        <w:rPr>
          <w:rFonts w:ascii="David" w:eastAsia="Calibri" w:hAnsi="David"/>
          <w:b/>
          <w:bCs/>
          <w:noProof w:val="0"/>
          <w:sz w:val="26"/>
          <w:szCs w:val="26"/>
          <w:u w:val="single"/>
          <w:rtl/>
        </w:rPr>
        <w:t>דיון והכרעה</w:t>
      </w:r>
    </w:p>
    <w:p w:rsidR="004B0B88" w:rsidRDefault="004B0B88" w:rsidP="004B0B88">
      <w:pPr>
        <w:pStyle w:val="a4"/>
        <w:spacing w:after="160"/>
        <w:jc w:val="both"/>
        <w:rPr>
          <w:rFonts w:ascii="David" w:eastAsia="Calibri" w:hAnsi="David"/>
          <w:b/>
          <w:bCs/>
          <w:noProof w:val="0"/>
          <w:sz w:val="26"/>
          <w:szCs w:val="26"/>
          <w:u w:val="single"/>
        </w:rPr>
      </w:pPr>
    </w:p>
    <w:p w:rsidR="004B0B88" w:rsidRDefault="004B0B88" w:rsidP="004B0B88">
      <w:pPr>
        <w:pStyle w:val="a4"/>
        <w:numPr>
          <w:ilvl w:val="0"/>
          <w:numId w:val="1"/>
        </w:numPr>
        <w:spacing w:line="360" w:lineRule="auto"/>
        <w:jc w:val="both"/>
        <w:rPr>
          <w:rFonts w:ascii="Arial" w:hAnsi="Arial"/>
          <w:b/>
          <w:bCs/>
          <w:noProof w:val="0"/>
        </w:rPr>
      </w:pPr>
      <w:r>
        <w:rPr>
          <w:rFonts w:ascii="Arial" w:hAnsi="Arial"/>
          <w:b/>
          <w:bCs/>
          <w:noProof w:val="0"/>
          <w:rtl/>
        </w:rPr>
        <w:t>לאחר שבחנתי טענות הצדדים ועיינתי בתיק המתנהל בבית המשפט קמא</w:t>
      </w:r>
      <w:r>
        <w:rPr>
          <w:rFonts w:ascii="Arial" w:hAnsi="Arial" w:hint="cs"/>
          <w:b/>
          <w:bCs/>
          <w:noProof w:val="0"/>
          <w:rtl/>
        </w:rPr>
        <w:t xml:space="preserve"> ובתיקים שהתנהלו בעניינם בבית משפט זה</w:t>
      </w:r>
      <w:r>
        <w:rPr>
          <w:rFonts w:ascii="Arial" w:hAnsi="Arial"/>
          <w:b/>
          <w:bCs/>
          <w:noProof w:val="0"/>
          <w:rtl/>
        </w:rPr>
        <w:t xml:space="preserve">, </w:t>
      </w:r>
      <w:r>
        <w:rPr>
          <w:rFonts w:ascii="Arial" w:hAnsi="Arial" w:hint="cs"/>
          <w:b/>
          <w:bCs/>
          <w:noProof w:val="0"/>
          <w:rtl/>
        </w:rPr>
        <w:t xml:space="preserve">ועל יסוד תקנה 138(א)(5) ותקנה 149(2)(א) ו-(ב) </w:t>
      </w:r>
      <w:r>
        <w:rPr>
          <w:rFonts w:ascii="Arial" w:hAnsi="Arial"/>
          <w:b/>
          <w:bCs/>
          <w:noProof w:val="0"/>
          <w:rtl/>
        </w:rPr>
        <w:t xml:space="preserve">לתקנות סדר הדין האזרחי, תשע"ט-2018 </w:t>
      </w:r>
      <w:r>
        <w:rPr>
          <w:rFonts w:ascii="Arial" w:hAnsi="Arial" w:hint="cs"/>
          <w:b/>
          <w:bCs/>
          <w:noProof w:val="0"/>
          <w:rtl/>
        </w:rPr>
        <w:t xml:space="preserve">מצאתי, </w:t>
      </w:r>
      <w:r>
        <w:rPr>
          <w:rFonts w:ascii="Arial" w:hAnsi="Arial"/>
          <w:b/>
          <w:bCs/>
          <w:noProof w:val="0"/>
          <w:rtl/>
        </w:rPr>
        <w:t xml:space="preserve">מהנימוקים שיובאו להלן, </w:t>
      </w:r>
      <w:r>
        <w:rPr>
          <w:rFonts w:ascii="Arial" w:hAnsi="Arial" w:hint="cs"/>
          <w:b/>
          <w:bCs/>
          <w:noProof w:val="0"/>
          <w:rtl/>
        </w:rPr>
        <w:t xml:space="preserve">לדחות  הבקשה בכל הנוגע להוראה על העברת חלקה של המשיבה 1 ביתרת תמורת המכר לידיה, אך לקבלה בכל הנוגע לקביעה בעניין שכר טרחת מנהלי העיזבון ולדון בה כבערעור </w:t>
      </w:r>
      <w:proofErr w:type="spellStart"/>
      <w:r>
        <w:rPr>
          <w:rFonts w:ascii="Arial" w:hAnsi="Arial" w:hint="cs"/>
          <w:b/>
          <w:bCs/>
          <w:noProof w:val="0"/>
          <w:rtl/>
        </w:rPr>
        <w:t>וליתן</w:t>
      </w:r>
      <w:proofErr w:type="spellEnd"/>
      <w:r>
        <w:rPr>
          <w:rFonts w:ascii="Arial" w:hAnsi="Arial" w:hint="cs"/>
          <w:b/>
          <w:bCs/>
          <w:noProof w:val="0"/>
          <w:rtl/>
        </w:rPr>
        <w:t xml:space="preserve"> ההוראות שתובאנה להלן. </w:t>
      </w:r>
    </w:p>
    <w:p w:rsidR="004B0B88" w:rsidRDefault="004B0B88" w:rsidP="004B0B88">
      <w:pPr>
        <w:pStyle w:val="a4"/>
        <w:ind w:left="786"/>
        <w:jc w:val="both"/>
        <w:rPr>
          <w:rFonts w:ascii="Arial" w:hAnsi="Arial"/>
          <w:b/>
          <w:bCs/>
          <w:noProof w:val="0"/>
        </w:rPr>
      </w:pPr>
    </w:p>
    <w:p w:rsidR="004B0B88" w:rsidRDefault="004B0B88" w:rsidP="004B0B88">
      <w:pPr>
        <w:pStyle w:val="a4"/>
        <w:numPr>
          <w:ilvl w:val="0"/>
          <w:numId w:val="1"/>
        </w:numPr>
        <w:spacing w:line="360" w:lineRule="auto"/>
        <w:jc w:val="both"/>
        <w:rPr>
          <w:rFonts w:ascii="Arial" w:hAnsi="Arial"/>
          <w:noProof w:val="0"/>
        </w:rPr>
      </w:pPr>
      <w:r>
        <w:rPr>
          <w:rFonts w:ascii="Arial" w:hAnsi="Arial" w:hint="cs"/>
          <w:noProof w:val="0"/>
          <w:rtl/>
        </w:rPr>
        <w:t xml:space="preserve">ראשית ובאשר לקביעה כי המשיבה 1 זכאית לקבלת היתרה בסך 103,000 ₪ מתוך חלקה בתמורת המכר בהפחתת הסך של 6,000 ₪ בגין האיחור במסירת הנכס ולפני הפחתת חלקה בשכר הטרחה של מנהלי העיזבון </w:t>
      </w:r>
      <w:r>
        <w:rPr>
          <w:rFonts w:ascii="Arial" w:hAnsi="Arial"/>
          <w:noProof w:val="0"/>
          <w:rtl/>
        </w:rPr>
        <w:t>–</w:t>
      </w:r>
      <w:r>
        <w:rPr>
          <w:rFonts w:ascii="Arial" w:hAnsi="Arial" w:hint="cs"/>
          <w:noProof w:val="0"/>
          <w:rtl/>
        </w:rPr>
        <w:t xml:space="preserve"> עניין לנו בהחלטה מיום 31.05.2023, אשר המועד האחרון להשיג עליה היה ביום 02.07.2023.</w:t>
      </w:r>
    </w:p>
    <w:p w:rsidR="004B0B88" w:rsidRPr="004B6FBE" w:rsidRDefault="004B0B88" w:rsidP="004B0B88">
      <w:pPr>
        <w:pStyle w:val="a4"/>
        <w:rPr>
          <w:rFonts w:ascii="Arial" w:hAnsi="Arial"/>
          <w:noProof w:val="0"/>
          <w:rtl/>
        </w:rPr>
      </w:pPr>
    </w:p>
    <w:p w:rsidR="004B0B88" w:rsidRDefault="004B0B88" w:rsidP="004B0B88">
      <w:pPr>
        <w:pStyle w:val="a4"/>
        <w:spacing w:line="360" w:lineRule="auto"/>
        <w:ind w:left="786"/>
        <w:jc w:val="both"/>
        <w:rPr>
          <w:rFonts w:ascii="Arial" w:hAnsi="Arial"/>
          <w:noProof w:val="0"/>
          <w:rtl/>
        </w:rPr>
      </w:pPr>
      <w:r>
        <w:rPr>
          <w:rFonts w:ascii="Arial" w:hAnsi="Arial" w:hint="cs"/>
          <w:noProof w:val="0"/>
          <w:rtl/>
        </w:rPr>
        <w:t>בקשת רשות הערעור הוגשה אך ביום 26.10.2023 ובחלוף המועד הקבוע לכך בדין, ודי בכך כדי לדחותה ככל שהיא נוגעת להוראה זו.</w:t>
      </w:r>
    </w:p>
    <w:p w:rsidR="004B0B88" w:rsidRDefault="004B0B88" w:rsidP="004B0B88">
      <w:pPr>
        <w:pStyle w:val="a4"/>
        <w:spacing w:line="360" w:lineRule="auto"/>
        <w:ind w:left="786"/>
        <w:jc w:val="both"/>
        <w:rPr>
          <w:rFonts w:ascii="Arial" w:hAnsi="Arial"/>
          <w:noProof w:val="0"/>
          <w:rtl/>
        </w:rPr>
      </w:pPr>
    </w:p>
    <w:p w:rsidR="004B0B88" w:rsidRDefault="004B0B88" w:rsidP="004B0B88">
      <w:pPr>
        <w:pStyle w:val="a4"/>
        <w:spacing w:line="360" w:lineRule="auto"/>
        <w:ind w:left="786"/>
        <w:jc w:val="both"/>
        <w:rPr>
          <w:rFonts w:ascii="Arial" w:hAnsi="Arial"/>
          <w:noProof w:val="0"/>
          <w:rtl/>
        </w:rPr>
      </w:pPr>
      <w:r>
        <w:rPr>
          <w:rFonts w:ascii="Arial" w:hAnsi="Arial" w:hint="cs"/>
          <w:noProof w:val="0"/>
          <w:rtl/>
        </w:rPr>
        <w:t>למעלה מן הצורך וגם לגוף העניין דינה להידחות, היות שמעיון בכתבי הטענות של הצדדים בכלל ומפסק דינו של בית משפט זה בערעור המשיבה 1 (שניתן, כאמור, בהסכמה, ביום 22.02.2023) בפרט, עולה בבירור, כי הרציונל שבבסיסו הוא הבחנה ברורה בין חובות המשיבה 1 (נוכח השימוש שעשתה בנכס) ובין חובות העיזבון ומניעת טשטוש הגבול שנוצר ביניהם ועבר כחוט השני לאורך ההליך ועד להכרעה בערעור המאוחר מבין השניים שהתבררו בבית משפט זה, כאמור.</w:t>
      </w:r>
    </w:p>
    <w:p w:rsidR="004B0B88" w:rsidRDefault="004B0B88" w:rsidP="004B0B88">
      <w:pPr>
        <w:pStyle w:val="a4"/>
        <w:spacing w:line="360" w:lineRule="auto"/>
        <w:ind w:left="786"/>
        <w:jc w:val="both"/>
        <w:rPr>
          <w:rFonts w:ascii="Arial" w:hAnsi="Arial"/>
          <w:noProof w:val="0"/>
          <w:rtl/>
        </w:rPr>
      </w:pPr>
    </w:p>
    <w:p w:rsidR="004B0B88" w:rsidRDefault="004B0B88" w:rsidP="008D4DBB">
      <w:pPr>
        <w:pStyle w:val="a4"/>
        <w:spacing w:line="360" w:lineRule="auto"/>
        <w:ind w:left="786"/>
        <w:jc w:val="both"/>
        <w:rPr>
          <w:rFonts w:ascii="Arial" w:hAnsi="Arial"/>
          <w:noProof w:val="0"/>
          <w:rtl/>
        </w:rPr>
      </w:pPr>
      <w:r>
        <w:rPr>
          <w:rFonts w:ascii="Arial" w:hAnsi="Arial" w:hint="cs"/>
          <w:noProof w:val="0"/>
          <w:rtl/>
        </w:rPr>
        <w:t xml:space="preserve">נזכיר, כי עניינו של ההליך בבית המשפט קמא הוא עתירת נושה העיזבון </w:t>
      </w:r>
      <w:r>
        <w:rPr>
          <w:rFonts w:ascii="Arial" w:hAnsi="Arial"/>
          <w:noProof w:val="0"/>
          <w:rtl/>
        </w:rPr>
        <w:t>–</w:t>
      </w:r>
      <w:r>
        <w:rPr>
          <w:rFonts w:ascii="Arial" w:hAnsi="Arial" w:hint="cs"/>
          <w:noProof w:val="0"/>
          <w:rtl/>
        </w:rPr>
        <w:t xml:space="preserve"> עיריית </w:t>
      </w:r>
      <w:r w:rsidR="008D4DBB">
        <w:rPr>
          <w:rFonts w:ascii="Arial" w:hAnsi="Arial" w:hint="cs"/>
          <w:noProof w:val="0"/>
          <w:rtl/>
        </w:rPr>
        <w:t>...</w:t>
      </w:r>
      <w:r>
        <w:rPr>
          <w:rFonts w:ascii="Arial" w:hAnsi="Arial" w:hint="cs"/>
          <w:noProof w:val="0"/>
          <w:rtl/>
        </w:rPr>
        <w:t xml:space="preserve"> למינוי מנהל עיזבון על מנת להיפרע מן העיזבון בגין חובות שצברו המנוחים כלפיה בימי חייהם, וכי ההליך ננקט על ידה; ונזכיר עוד, כי אחד ממנהלי העיזבון הוא ב"כ הנושה שמונה לבקשתה לצד מנהל העיזבון שמונה ע"י בית המשפט בראשיתו של ההליך. </w:t>
      </w:r>
    </w:p>
    <w:p w:rsidR="004B0B88" w:rsidRDefault="004B0B88" w:rsidP="004B0B88">
      <w:pPr>
        <w:pStyle w:val="a4"/>
        <w:spacing w:line="360" w:lineRule="auto"/>
        <w:ind w:left="786"/>
        <w:jc w:val="both"/>
        <w:rPr>
          <w:rFonts w:ascii="Arial" w:hAnsi="Arial"/>
          <w:noProof w:val="0"/>
          <w:rtl/>
        </w:rPr>
      </w:pPr>
    </w:p>
    <w:p w:rsidR="004B0B88" w:rsidRDefault="004B0B88" w:rsidP="004B0B88">
      <w:pPr>
        <w:pStyle w:val="a4"/>
        <w:spacing w:line="360" w:lineRule="auto"/>
        <w:ind w:left="786"/>
        <w:jc w:val="both"/>
        <w:rPr>
          <w:rFonts w:ascii="Arial" w:hAnsi="Arial"/>
          <w:noProof w:val="0"/>
          <w:rtl/>
        </w:rPr>
      </w:pPr>
      <w:r>
        <w:rPr>
          <w:rFonts w:ascii="Arial" w:hAnsi="Arial" w:hint="cs"/>
          <w:noProof w:val="0"/>
          <w:rtl/>
        </w:rPr>
        <w:t>לא בכדי, אפוא, שורטט גבול ברור בין חובות העיזבון כלפי הנושה ובין חובות המשיבה 1 כלפיה.</w:t>
      </w:r>
    </w:p>
    <w:p w:rsidR="004B0B88" w:rsidRDefault="004B0B88" w:rsidP="004B0B88">
      <w:pPr>
        <w:pStyle w:val="a4"/>
        <w:spacing w:line="360" w:lineRule="auto"/>
        <w:ind w:left="786"/>
        <w:jc w:val="both"/>
        <w:rPr>
          <w:rFonts w:ascii="Arial" w:hAnsi="Arial"/>
          <w:noProof w:val="0"/>
          <w:rtl/>
        </w:rPr>
      </w:pPr>
    </w:p>
    <w:p w:rsidR="004B0B88" w:rsidRDefault="004B0B88" w:rsidP="008D4DBB">
      <w:pPr>
        <w:pStyle w:val="a4"/>
        <w:spacing w:line="360" w:lineRule="auto"/>
        <w:ind w:left="786"/>
        <w:jc w:val="both"/>
        <w:rPr>
          <w:rFonts w:ascii="Arial" w:hAnsi="Arial"/>
          <w:noProof w:val="0"/>
          <w:rtl/>
        </w:rPr>
      </w:pPr>
      <w:r>
        <w:rPr>
          <w:rFonts w:ascii="Arial" w:hAnsi="Arial" w:hint="cs"/>
          <w:noProof w:val="0"/>
          <w:rtl/>
        </w:rPr>
        <w:t xml:space="preserve">משעניין לנו, כאמור, בהליך שעניינו ניהול העיזבון וחובותיו נפרעו, נמצא, כי אין מקום לביצוע הפחתות וקיזוזים מחלקה של המשיבה 1 בתמורת המכר לטובת חובותיה כלפי עיריית </w:t>
      </w:r>
      <w:r w:rsidR="008D4DBB">
        <w:rPr>
          <w:rFonts w:ascii="Arial" w:hAnsi="Arial" w:hint="cs"/>
          <w:noProof w:val="0"/>
          <w:rtl/>
        </w:rPr>
        <w:t>...</w:t>
      </w:r>
      <w:r>
        <w:rPr>
          <w:rFonts w:ascii="Arial" w:hAnsi="Arial" w:hint="cs"/>
          <w:noProof w:val="0"/>
          <w:rtl/>
        </w:rPr>
        <w:t xml:space="preserve"> ותאגיד המים העירוני.</w:t>
      </w:r>
    </w:p>
    <w:p w:rsidR="004B0B88" w:rsidRDefault="004B0B88" w:rsidP="004B0B88">
      <w:pPr>
        <w:pStyle w:val="a4"/>
        <w:spacing w:line="360" w:lineRule="auto"/>
        <w:ind w:left="786"/>
        <w:jc w:val="both"/>
        <w:rPr>
          <w:rFonts w:ascii="Arial" w:hAnsi="Arial"/>
          <w:noProof w:val="0"/>
          <w:rtl/>
        </w:rPr>
      </w:pPr>
      <w:r>
        <w:rPr>
          <w:rFonts w:ascii="Arial" w:hAnsi="Arial" w:hint="cs"/>
          <w:noProof w:val="0"/>
          <w:rtl/>
        </w:rPr>
        <w:t xml:space="preserve">השימוש שביקשה הנושה לעשות בהליך על מנת לגבות גם חובות המשיבה 1 כלפיה איננו ראוי, ולו מטעמים של מראית פני הצדק, ובדין הושגה ההסכמה בין הצדדים במסגרת ההליך </w:t>
      </w:r>
      <w:proofErr w:type="spellStart"/>
      <w:r>
        <w:rPr>
          <w:rFonts w:ascii="Arial" w:hAnsi="Arial" w:hint="cs"/>
          <w:noProof w:val="0"/>
          <w:rtl/>
        </w:rPr>
        <w:t>הערעורי</w:t>
      </w:r>
      <w:proofErr w:type="spellEnd"/>
      <w:r>
        <w:rPr>
          <w:rFonts w:ascii="Arial" w:hAnsi="Arial" w:hint="cs"/>
          <w:noProof w:val="0"/>
          <w:rtl/>
        </w:rPr>
        <w:t>, שקיבלה, כאמור, תוקף של פסק דין.</w:t>
      </w:r>
    </w:p>
    <w:p w:rsidR="004B0B88" w:rsidRDefault="004B0B88" w:rsidP="004B0B88">
      <w:pPr>
        <w:pStyle w:val="a4"/>
        <w:spacing w:line="360" w:lineRule="auto"/>
        <w:ind w:left="786"/>
        <w:jc w:val="both"/>
        <w:rPr>
          <w:rFonts w:ascii="Arial" w:hAnsi="Arial"/>
          <w:noProof w:val="0"/>
          <w:rtl/>
        </w:rPr>
      </w:pPr>
      <w:r>
        <w:rPr>
          <w:rFonts w:ascii="Arial" w:hAnsi="Arial" w:hint="cs"/>
          <w:noProof w:val="0"/>
          <w:rtl/>
        </w:rPr>
        <w:t xml:space="preserve">ברי, כי אין משמעות הדבר שהמשיבה 1 פטורה מתשלום חובותיה כלפי מי </w:t>
      </w:r>
      <w:proofErr w:type="spellStart"/>
      <w:r>
        <w:rPr>
          <w:rFonts w:ascii="Arial" w:hAnsi="Arial" w:hint="cs"/>
          <w:noProof w:val="0"/>
          <w:rtl/>
        </w:rPr>
        <w:t>מנושיה</w:t>
      </w:r>
      <w:proofErr w:type="spellEnd"/>
      <w:r>
        <w:rPr>
          <w:rFonts w:ascii="Arial" w:hAnsi="Arial" w:hint="cs"/>
          <w:noProof w:val="0"/>
          <w:rtl/>
        </w:rPr>
        <w:t xml:space="preserve"> ככל שישנם ו/או שיש בהחלטת בית המשפט כדי לבטל צווי העיקול שהוטלו על ידם או להתעלם מהם, אך הפורום הנאות לפעול לגבייתם הוא בלשכת ההוצאה לפועל ולא בהליך שעניינו ניהול עיזבונות הוריה המנוחים.   </w:t>
      </w:r>
    </w:p>
    <w:p w:rsidR="004B0B88" w:rsidRPr="004B6FBE" w:rsidRDefault="004B0B88" w:rsidP="004B0B88">
      <w:pPr>
        <w:spacing w:line="360" w:lineRule="auto"/>
        <w:jc w:val="both"/>
        <w:rPr>
          <w:rFonts w:ascii="Arial" w:hAnsi="Arial"/>
          <w:noProof w:val="0"/>
          <w:rtl/>
        </w:rPr>
      </w:pPr>
      <w:r w:rsidRPr="004B6FBE">
        <w:rPr>
          <w:rFonts w:ascii="Arial" w:hAnsi="Arial" w:hint="cs"/>
          <w:noProof w:val="0"/>
          <w:rtl/>
        </w:rPr>
        <w:t xml:space="preserve">  </w:t>
      </w:r>
    </w:p>
    <w:p w:rsidR="004B0B88" w:rsidRPr="004D0D91" w:rsidRDefault="004B0B88" w:rsidP="004B0B88">
      <w:pPr>
        <w:pStyle w:val="a4"/>
        <w:numPr>
          <w:ilvl w:val="0"/>
          <w:numId w:val="1"/>
        </w:numPr>
        <w:spacing w:line="360" w:lineRule="auto"/>
        <w:jc w:val="both"/>
        <w:rPr>
          <w:rFonts w:ascii="Arial" w:hAnsi="Arial"/>
          <w:b/>
          <w:bCs/>
          <w:noProof w:val="0"/>
        </w:rPr>
      </w:pPr>
      <w:r>
        <w:rPr>
          <w:rFonts w:ascii="Arial" w:hAnsi="Arial" w:hint="cs"/>
          <w:noProof w:val="0"/>
          <w:rtl/>
        </w:rPr>
        <w:t>עם זאת ובכל הנוגע לפסיקת שכרם של מנהלי העיזבון מצאתי, כאמור, כי יש מקום להתערב בהחלטת בית המשפט קמא.</w:t>
      </w:r>
    </w:p>
    <w:p w:rsidR="004B0B88" w:rsidRPr="004D0D91" w:rsidRDefault="004B0B88" w:rsidP="004B0B88">
      <w:pPr>
        <w:pStyle w:val="a4"/>
        <w:spacing w:line="360" w:lineRule="auto"/>
        <w:ind w:left="786"/>
        <w:jc w:val="both"/>
        <w:rPr>
          <w:rFonts w:ascii="Arial" w:hAnsi="Arial"/>
          <w:b/>
          <w:bCs/>
          <w:noProof w:val="0"/>
        </w:rPr>
      </w:pPr>
    </w:p>
    <w:p w:rsidR="004B0B88" w:rsidRPr="004D0D91" w:rsidRDefault="004B0B88" w:rsidP="004B0B88">
      <w:pPr>
        <w:pStyle w:val="a4"/>
        <w:numPr>
          <w:ilvl w:val="0"/>
          <w:numId w:val="1"/>
        </w:numPr>
        <w:spacing w:line="360" w:lineRule="auto"/>
        <w:jc w:val="both"/>
        <w:rPr>
          <w:rFonts w:ascii="Arial" w:hAnsi="Arial"/>
          <w:noProof w:val="0"/>
          <w:rtl/>
        </w:rPr>
      </w:pPr>
      <w:r w:rsidRPr="004D0D91">
        <w:rPr>
          <w:rFonts w:ascii="Arial" w:hAnsi="Arial" w:hint="cs"/>
          <w:noProof w:val="0"/>
          <w:rtl/>
        </w:rPr>
        <w:t xml:space="preserve">המסגרת הנורמטיבית הנוגעת לסוגיה שלפנינו מצויה בתקנה 45ב לתקנות הירושה, תשנ"ח </w:t>
      </w:r>
      <w:r w:rsidRPr="004D0D91">
        <w:rPr>
          <w:rFonts w:ascii="Arial" w:hAnsi="Arial"/>
          <w:noProof w:val="0"/>
          <w:rtl/>
        </w:rPr>
        <w:t>–</w:t>
      </w:r>
      <w:r w:rsidRPr="004D0D91">
        <w:rPr>
          <w:rFonts w:ascii="Arial" w:hAnsi="Arial" w:hint="cs"/>
          <w:noProof w:val="0"/>
          <w:rtl/>
        </w:rPr>
        <w:t xml:space="preserve"> 1998 המעגנת סמכותו של בית המשפט לפסוק שכר טרחתו של מנהל עיזבון, תקרת השכר שהוא מוסמך לפסוק ואמות המידה לפסיקתו</w:t>
      </w:r>
      <w:r>
        <w:rPr>
          <w:rFonts w:ascii="Arial" w:hAnsi="Arial" w:hint="cs"/>
          <w:noProof w:val="0"/>
          <w:rtl/>
        </w:rPr>
        <w:t>:</w:t>
      </w:r>
      <w:r w:rsidRPr="004D0D91">
        <w:rPr>
          <w:rFonts w:ascii="Arial" w:hAnsi="Arial" w:hint="cs"/>
          <w:noProof w:val="0"/>
          <w:rtl/>
        </w:rPr>
        <w:t xml:space="preserve"> </w:t>
      </w:r>
    </w:p>
    <w:p w:rsidR="004B0B88" w:rsidRPr="007B4B85" w:rsidRDefault="004B0B88" w:rsidP="004B0B88">
      <w:pPr>
        <w:pStyle w:val="a4"/>
        <w:tabs>
          <w:tab w:val="left" w:pos="936"/>
        </w:tabs>
        <w:spacing w:line="360" w:lineRule="auto"/>
        <w:ind w:left="1077" w:hanging="567"/>
        <w:jc w:val="both"/>
        <w:rPr>
          <w:rFonts w:ascii="Arial" w:hAnsi="Arial"/>
          <w:b/>
          <w:bCs/>
          <w:noProof w:val="0"/>
          <w:rtl/>
        </w:rPr>
      </w:pPr>
      <w:r>
        <w:rPr>
          <w:rFonts w:ascii="Arial" w:hAnsi="Arial" w:hint="cs"/>
          <w:b/>
          <w:bCs/>
          <w:noProof w:val="0"/>
          <w:rtl/>
        </w:rPr>
        <w:t>"</w:t>
      </w:r>
      <w:r w:rsidRPr="007B4B85">
        <w:rPr>
          <w:rFonts w:ascii="Arial" w:hAnsi="Arial" w:hint="cs"/>
          <w:b/>
          <w:bCs/>
          <w:noProof w:val="0"/>
          <w:rtl/>
        </w:rPr>
        <w:t>45ב. (א) בית המשפט יקבע למנהל העיזבון שכר בעד מילוי תפקידיו כמנהל עיזבון ועשיית הפעולות שבסמכותו, שלא יעלה על 3% משווי העיזבון;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4B0B88" w:rsidRPr="007B4B85" w:rsidRDefault="004B0B88" w:rsidP="004B0B88">
      <w:pPr>
        <w:pStyle w:val="a4"/>
        <w:spacing w:line="360" w:lineRule="auto"/>
        <w:ind w:left="1077"/>
        <w:jc w:val="both"/>
        <w:rPr>
          <w:rFonts w:ascii="Arial" w:hAnsi="Arial"/>
          <w:b/>
          <w:bCs/>
          <w:noProof w:val="0"/>
          <w:rtl/>
        </w:rPr>
      </w:pPr>
      <w:r w:rsidRPr="007B4B85">
        <w:rPr>
          <w:rFonts w:ascii="Arial" w:hAnsi="Arial" w:hint="cs"/>
          <w:b/>
          <w:bCs/>
          <w:noProof w:val="0"/>
          <w:rtl/>
        </w:rPr>
        <w:t>(ב) 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4B0B88" w:rsidRDefault="004B0B88" w:rsidP="004B0B88">
      <w:pPr>
        <w:pStyle w:val="a4"/>
        <w:spacing w:line="360" w:lineRule="auto"/>
        <w:ind w:left="1219" w:hanging="142"/>
        <w:jc w:val="both"/>
        <w:rPr>
          <w:rFonts w:ascii="Arial" w:hAnsi="Arial"/>
          <w:b/>
          <w:bCs/>
          <w:noProof w:val="0"/>
          <w:rtl/>
        </w:rPr>
      </w:pPr>
      <w:r w:rsidRPr="007B4B85">
        <w:rPr>
          <w:rFonts w:ascii="Arial" w:hAnsi="Arial" w:hint="cs"/>
          <w:b/>
          <w:bCs/>
          <w:noProof w:val="0"/>
          <w:rtl/>
        </w:rPr>
        <w:t>(ג) לשכר הטרחה שיקבע בית המשפט לפי תקנות אלה ייווסף מס ערך מוסף</w:t>
      </w:r>
      <w:r>
        <w:rPr>
          <w:rFonts w:ascii="Arial" w:hAnsi="Arial" w:hint="cs"/>
          <w:b/>
          <w:bCs/>
          <w:noProof w:val="0"/>
          <w:rtl/>
        </w:rPr>
        <w:t>"</w:t>
      </w:r>
      <w:r w:rsidRPr="007B4B85">
        <w:rPr>
          <w:rFonts w:ascii="Arial" w:hAnsi="Arial" w:hint="cs"/>
          <w:b/>
          <w:bCs/>
          <w:noProof w:val="0"/>
          <w:rtl/>
        </w:rPr>
        <w:t xml:space="preserve">. </w:t>
      </w:r>
    </w:p>
    <w:p w:rsidR="004B0B88" w:rsidRPr="004D0D91" w:rsidRDefault="004B0B88" w:rsidP="004B0B88">
      <w:pPr>
        <w:pStyle w:val="a4"/>
        <w:spacing w:line="360" w:lineRule="auto"/>
        <w:ind w:left="786"/>
        <w:jc w:val="both"/>
        <w:rPr>
          <w:rFonts w:ascii="Arial" w:hAnsi="Arial"/>
          <w:noProof w:val="0"/>
        </w:rPr>
      </w:pPr>
    </w:p>
    <w:p w:rsidR="004B0B88" w:rsidRPr="00592D02" w:rsidRDefault="004B0B88" w:rsidP="004B0B88">
      <w:pPr>
        <w:pStyle w:val="a4"/>
        <w:numPr>
          <w:ilvl w:val="0"/>
          <w:numId w:val="1"/>
        </w:numPr>
        <w:spacing w:line="360" w:lineRule="auto"/>
        <w:jc w:val="both"/>
        <w:rPr>
          <w:rFonts w:ascii="Arial" w:hAnsi="Arial"/>
          <w:noProof w:val="0"/>
          <w:rtl/>
        </w:rPr>
      </w:pPr>
      <w:r w:rsidRPr="00592D02">
        <w:rPr>
          <w:rFonts w:ascii="Arial" w:hAnsi="Arial" w:hint="cs"/>
          <w:noProof w:val="0"/>
          <w:rtl/>
        </w:rPr>
        <w:t xml:space="preserve">בהלכה הפסוקה נקבע, כי ערכאת הערעור לא תיטה להתערב בשיקול הדעת של הערכאה הדיונית בכל הנוגע לפסיקת שכרם של בעלי תפקיד שמונו על ידה אלא במקרים בהם חריגים </w:t>
      </w:r>
      <w:r>
        <w:rPr>
          <w:rFonts w:ascii="Arial" w:hAnsi="Arial" w:hint="cs"/>
          <w:noProof w:val="0"/>
          <w:rtl/>
        </w:rPr>
        <w:t xml:space="preserve">בהם </w:t>
      </w:r>
      <w:r w:rsidRPr="00592D02">
        <w:rPr>
          <w:rFonts w:ascii="Arial" w:hAnsi="Arial" w:hint="cs"/>
          <w:noProof w:val="0"/>
          <w:rtl/>
        </w:rPr>
        <w:t xml:space="preserve">יצאה </w:t>
      </w:r>
      <w:r>
        <w:rPr>
          <w:rFonts w:ascii="Arial" w:hAnsi="Arial" w:hint="cs"/>
          <w:noProof w:val="0"/>
          <w:rtl/>
        </w:rPr>
        <w:t>תחת</w:t>
      </w:r>
      <w:r w:rsidRPr="00592D02">
        <w:rPr>
          <w:rFonts w:ascii="Arial" w:hAnsi="Arial" w:hint="cs"/>
          <w:noProof w:val="0"/>
          <w:rtl/>
        </w:rPr>
        <w:t xml:space="preserve"> ידה שגגה בקביעת העקרונות על פיהם נפסק השכר או באופן יישומם (ראו למשל: ע"א 2886/00 </w:t>
      </w:r>
      <w:r w:rsidRPr="00592D02">
        <w:rPr>
          <w:rFonts w:ascii="Arial" w:hAnsi="Arial" w:hint="cs"/>
          <w:b/>
          <w:bCs/>
          <w:noProof w:val="0"/>
          <w:rtl/>
        </w:rPr>
        <w:t>הקרן לטיפול בחסויים נ' היועמ"ש</w:t>
      </w:r>
      <w:r w:rsidRPr="00592D02">
        <w:rPr>
          <w:rFonts w:ascii="Arial" w:hAnsi="Arial" w:hint="cs"/>
          <w:noProof w:val="0"/>
          <w:rtl/>
        </w:rPr>
        <w:t xml:space="preserve">, פ"ד </w:t>
      </w:r>
      <w:proofErr w:type="spellStart"/>
      <w:r w:rsidRPr="00592D02">
        <w:rPr>
          <w:rFonts w:ascii="Arial" w:hAnsi="Arial" w:hint="cs"/>
          <w:noProof w:val="0"/>
          <w:rtl/>
        </w:rPr>
        <w:t>נה</w:t>
      </w:r>
      <w:proofErr w:type="spellEnd"/>
      <w:r w:rsidRPr="00592D02">
        <w:rPr>
          <w:rFonts w:ascii="Arial" w:hAnsi="Arial" w:hint="cs"/>
          <w:noProof w:val="0"/>
          <w:rtl/>
        </w:rPr>
        <w:t xml:space="preserve">(5) 62, 70), </w:t>
      </w:r>
      <w:r w:rsidRPr="00592D02">
        <w:rPr>
          <w:rFonts w:ascii="Arial" w:hAnsi="Arial" w:hint="cs"/>
          <w:noProof w:val="0"/>
          <w:rtl/>
        </w:rPr>
        <w:lastRenderedPageBreak/>
        <w:t xml:space="preserve">וראו גם את שנקבע ב- ע"א 6166/07 </w:t>
      </w:r>
      <w:r w:rsidRPr="00592D02">
        <w:rPr>
          <w:rFonts w:ascii="Arial" w:hAnsi="Arial" w:hint="cs"/>
          <w:b/>
          <w:bCs/>
          <w:noProof w:val="0"/>
          <w:rtl/>
        </w:rPr>
        <w:t xml:space="preserve">צחי פלדמן עו"ד נ' </w:t>
      </w:r>
      <w:proofErr w:type="spellStart"/>
      <w:r w:rsidRPr="00592D02">
        <w:rPr>
          <w:rFonts w:ascii="Arial" w:hAnsi="Arial" w:hint="cs"/>
          <w:b/>
          <w:bCs/>
          <w:noProof w:val="0"/>
          <w:rtl/>
        </w:rPr>
        <w:t>א.י.ע</w:t>
      </w:r>
      <w:proofErr w:type="spellEnd"/>
      <w:r w:rsidRPr="00592D02">
        <w:rPr>
          <w:rFonts w:ascii="Arial" w:hAnsi="Arial" w:hint="cs"/>
          <w:b/>
          <w:bCs/>
          <w:noProof w:val="0"/>
          <w:rtl/>
        </w:rPr>
        <w:t xml:space="preserve"> יובלים השקעות בע"מ</w:t>
      </w:r>
      <w:r>
        <w:rPr>
          <w:rFonts w:ascii="Arial" w:hAnsi="Arial" w:hint="cs"/>
          <w:noProof w:val="0"/>
          <w:rtl/>
        </w:rPr>
        <w:t xml:space="preserve"> (פורסם במאגרים האלקטרוניים):</w:t>
      </w:r>
      <w:r w:rsidRPr="00592D02">
        <w:rPr>
          <w:rFonts w:ascii="Arial" w:hAnsi="Arial" w:hint="cs"/>
          <w:noProof w:val="0"/>
          <w:rtl/>
        </w:rPr>
        <w:t xml:space="preserve"> </w:t>
      </w:r>
    </w:p>
    <w:p w:rsidR="004B0B88" w:rsidRDefault="004B0B88" w:rsidP="004B0B88">
      <w:pPr>
        <w:pStyle w:val="a4"/>
        <w:spacing w:line="360" w:lineRule="auto"/>
        <w:ind w:left="786"/>
        <w:jc w:val="both"/>
        <w:rPr>
          <w:rFonts w:ascii="Arial" w:hAnsi="Arial"/>
          <w:noProof w:val="0"/>
          <w:rtl/>
        </w:rPr>
      </w:pPr>
      <w:r w:rsidRPr="001F0B62">
        <w:rPr>
          <w:rFonts w:ascii="Arial" w:hAnsi="Arial" w:hint="cs"/>
          <w:b/>
          <w:bCs/>
          <w:noProof w:val="0"/>
          <w:rtl/>
        </w:rPr>
        <w:t>"...מטבע הדברים, מירב המידע בנוגע למאמצים שהושקעו, הטרחה שנדרשה והמהלכים שננקטו על ידי בעל התפקיד, מצוי בדרך כלל בידי הערכאה הדיונית... חזקה על ערכאה זו כי היא יודעת טוב יותר מערכאת הערעור מה גודל המאמץ שנדרש מבעל התפקיד והאם אכן מדובר במאמץ חריג המצדיק פסיקת תוספת לשכרו. רק במקרים חריגים, למשל אם התברר כי הערכאה הדיונית התעלמה מנתונים מסוימים או כאשר פסיקתה חורגת מהסביר, תתערב ערכאת הערעור בקביעותיה של הערכאה הדיונית בעניין שכרו של בעל התפקיד"</w:t>
      </w:r>
      <w:r>
        <w:rPr>
          <w:rFonts w:ascii="Arial" w:hAnsi="Arial" w:hint="cs"/>
          <w:noProof w:val="0"/>
          <w:rtl/>
        </w:rPr>
        <w:t xml:space="preserve">. </w:t>
      </w:r>
    </w:p>
    <w:p w:rsidR="004B0B88" w:rsidRPr="007B4B85" w:rsidRDefault="004B0B88" w:rsidP="004B0B88">
      <w:pPr>
        <w:pStyle w:val="a4"/>
        <w:spacing w:line="360" w:lineRule="auto"/>
        <w:ind w:left="786"/>
        <w:jc w:val="both"/>
        <w:rPr>
          <w:rFonts w:ascii="Arial" w:hAnsi="Arial"/>
          <w:b/>
          <w:bCs/>
          <w:noProof w:val="0"/>
          <w:rtl/>
        </w:rPr>
      </w:pPr>
    </w:p>
    <w:p w:rsidR="004B0B88" w:rsidRDefault="004B0B88" w:rsidP="004B0B88">
      <w:pPr>
        <w:pStyle w:val="a4"/>
        <w:numPr>
          <w:ilvl w:val="0"/>
          <w:numId w:val="1"/>
        </w:numPr>
        <w:spacing w:line="360" w:lineRule="auto"/>
        <w:jc w:val="both"/>
        <w:rPr>
          <w:rFonts w:ascii="Arial" w:hAnsi="Arial"/>
          <w:noProof w:val="0"/>
        </w:rPr>
      </w:pPr>
      <w:r w:rsidRPr="00592D02">
        <w:rPr>
          <w:rFonts w:ascii="Arial" w:hAnsi="Arial" w:hint="cs"/>
          <w:noProof w:val="0"/>
          <w:rtl/>
        </w:rPr>
        <w:t>בהתאם לעקרונות שהותוו בחקיקה ובפסיקה קביעת שכרו של מנהל העיזבון תיעשה על דרך בחינת נתונים שונים הרלוונטיים לעניין וב</w:t>
      </w:r>
      <w:r>
        <w:rPr>
          <w:rFonts w:ascii="Arial" w:hAnsi="Arial" w:hint="cs"/>
          <w:noProof w:val="0"/>
          <w:rtl/>
        </w:rPr>
        <w:t>ראשם</w:t>
      </w:r>
      <w:r w:rsidRPr="00592D02">
        <w:rPr>
          <w:rFonts w:ascii="Arial" w:hAnsi="Arial" w:hint="cs"/>
          <w:noProof w:val="0"/>
          <w:rtl/>
        </w:rPr>
        <w:t xml:space="preserve"> היקף העיזבון ושוויו</w:t>
      </w:r>
      <w:r>
        <w:rPr>
          <w:rFonts w:ascii="Arial" w:hAnsi="Arial" w:hint="cs"/>
          <w:noProof w:val="0"/>
          <w:rtl/>
        </w:rPr>
        <w:t xml:space="preserve"> ומורכבות הניהול, דהיינו היקף וטיב הפעולות אותן ביצע מנהל העיזבון.</w:t>
      </w:r>
    </w:p>
    <w:p w:rsidR="004B0B88" w:rsidRDefault="004B0B88" w:rsidP="004B0B88">
      <w:pPr>
        <w:pStyle w:val="a4"/>
        <w:spacing w:line="360" w:lineRule="auto"/>
        <w:ind w:left="786"/>
        <w:jc w:val="both"/>
        <w:rPr>
          <w:rFonts w:ascii="Arial" w:hAnsi="Arial"/>
          <w:noProof w:val="0"/>
        </w:rPr>
      </w:pPr>
      <w:r>
        <w:rPr>
          <w:rFonts w:ascii="Arial" w:hAnsi="Arial" w:hint="cs"/>
          <w:noProof w:val="0"/>
          <w:rtl/>
        </w:rPr>
        <w:t xml:space="preserve">יתר על כן, בפסיקת בית המשפט העליון נקבע, כי מעמד הבכורה </w:t>
      </w:r>
      <w:proofErr w:type="spellStart"/>
      <w:r>
        <w:rPr>
          <w:rFonts w:ascii="Arial" w:hAnsi="Arial" w:hint="cs"/>
          <w:noProof w:val="0"/>
          <w:rtl/>
        </w:rPr>
        <w:t>בכגון</w:t>
      </w:r>
      <w:proofErr w:type="spellEnd"/>
      <w:r>
        <w:rPr>
          <w:rFonts w:ascii="Arial" w:hAnsi="Arial" w:hint="cs"/>
          <w:noProof w:val="0"/>
          <w:rtl/>
        </w:rPr>
        <w:t xml:space="preserve"> דא נתון לשיקול של מורכבות ניהול העיזבון והיקף הפעולות שבוצעו ע"י מנהל העיזבון (בע"מ 1243/07 </w:t>
      </w:r>
      <w:r w:rsidRPr="00806C13">
        <w:rPr>
          <w:rFonts w:ascii="Arial" w:hAnsi="Arial" w:hint="cs"/>
          <w:b/>
          <w:bCs/>
          <w:noProof w:val="0"/>
          <w:rtl/>
        </w:rPr>
        <w:t>אלמוני, עו"ד נ' פלוני</w:t>
      </w:r>
      <w:r>
        <w:rPr>
          <w:rFonts w:ascii="Arial" w:hAnsi="Arial" w:hint="cs"/>
          <w:b/>
          <w:bCs/>
          <w:noProof w:val="0"/>
          <w:rtl/>
        </w:rPr>
        <w:t xml:space="preserve">, </w:t>
      </w:r>
      <w:r>
        <w:rPr>
          <w:rFonts w:ascii="Arial" w:hAnsi="Arial" w:hint="cs"/>
          <w:noProof w:val="0"/>
          <w:rtl/>
        </w:rPr>
        <w:t xml:space="preserve">פורסם במאגרים האלקטרוניים).  </w:t>
      </w:r>
    </w:p>
    <w:p w:rsidR="004B0B88" w:rsidRPr="00B53D9B" w:rsidRDefault="004B0B88" w:rsidP="004B0B88">
      <w:pPr>
        <w:pStyle w:val="a4"/>
        <w:rPr>
          <w:rFonts w:ascii="Arial" w:hAnsi="Arial"/>
          <w:noProof w:val="0"/>
          <w:rtl/>
        </w:rPr>
      </w:pPr>
    </w:p>
    <w:p w:rsidR="004B0B88" w:rsidRDefault="004B0B88" w:rsidP="004B0B88">
      <w:pPr>
        <w:pStyle w:val="a4"/>
        <w:numPr>
          <w:ilvl w:val="0"/>
          <w:numId w:val="1"/>
        </w:numPr>
        <w:spacing w:line="360" w:lineRule="auto"/>
        <w:jc w:val="both"/>
        <w:rPr>
          <w:rFonts w:ascii="Arial" w:hAnsi="Arial"/>
          <w:noProof w:val="0"/>
        </w:rPr>
      </w:pPr>
      <w:r>
        <w:rPr>
          <w:rFonts w:ascii="Arial" w:hAnsi="Arial" w:hint="cs"/>
          <w:noProof w:val="0"/>
          <w:rtl/>
        </w:rPr>
        <w:t xml:space="preserve">ומדברים כלליים אלה נשוב לענייננו. </w:t>
      </w:r>
    </w:p>
    <w:p w:rsidR="004B0B88" w:rsidRDefault="004B0B88" w:rsidP="004B0B88">
      <w:pPr>
        <w:spacing w:line="360" w:lineRule="auto"/>
        <w:ind w:left="780"/>
        <w:jc w:val="both"/>
        <w:rPr>
          <w:rFonts w:ascii="Arial" w:hAnsi="Arial"/>
          <w:noProof w:val="0"/>
          <w:rtl/>
        </w:rPr>
      </w:pPr>
      <w:r>
        <w:rPr>
          <w:rFonts w:ascii="Arial" w:hAnsi="Arial" w:hint="cs"/>
          <w:noProof w:val="0"/>
          <w:rtl/>
        </w:rPr>
        <w:t xml:space="preserve">שוכנעתי, כי </w:t>
      </w:r>
      <w:r w:rsidRPr="00592D02">
        <w:rPr>
          <w:rFonts w:ascii="Arial" w:hAnsi="Arial" w:hint="cs"/>
          <w:noProof w:val="0"/>
          <w:rtl/>
        </w:rPr>
        <w:t xml:space="preserve">נסיבות המקרה דנא באות בגדר המקרים </w:t>
      </w:r>
      <w:r>
        <w:rPr>
          <w:rFonts w:ascii="Arial" w:hAnsi="Arial" w:hint="cs"/>
          <w:noProof w:val="0"/>
          <w:rtl/>
        </w:rPr>
        <w:t>החריגים בהם מוצדקת התערבות ערכאת הערעור בהחלטת הערכאה הדיונית הן באשר לגובה השכר שנפסק למנהלי העיזבון והן באשר לאופן בו הוא נפסק.</w:t>
      </w:r>
    </w:p>
    <w:p w:rsidR="004B0B88" w:rsidRPr="00806820" w:rsidRDefault="004B0B88" w:rsidP="004B0B88">
      <w:pPr>
        <w:pStyle w:val="a4"/>
        <w:rPr>
          <w:rFonts w:ascii="Arial" w:hAnsi="Arial"/>
          <w:noProof w:val="0"/>
          <w:rtl/>
        </w:rPr>
      </w:pPr>
    </w:p>
    <w:p w:rsidR="004B0B88" w:rsidRDefault="004B0B88" w:rsidP="004B0B88">
      <w:pPr>
        <w:pStyle w:val="a4"/>
        <w:numPr>
          <w:ilvl w:val="0"/>
          <w:numId w:val="1"/>
        </w:numPr>
        <w:spacing w:line="360" w:lineRule="auto"/>
        <w:jc w:val="both"/>
        <w:rPr>
          <w:rFonts w:ascii="Arial" w:hAnsi="Arial"/>
          <w:noProof w:val="0"/>
        </w:rPr>
      </w:pPr>
      <w:r w:rsidRPr="00592D02">
        <w:rPr>
          <w:rFonts w:ascii="Arial" w:hAnsi="Arial" w:hint="cs"/>
          <w:noProof w:val="0"/>
          <w:rtl/>
        </w:rPr>
        <w:t xml:space="preserve">יוער, כי הגם שבית המשפט הורה בחודש יולי אשתקד על הותרת סכום בשיעור 4% מתמורת המכר בקופת העיזבון עד אשר יפסק שכר הטרחה של מנהלי העיזבון, אין בכך סתירה </w:t>
      </w:r>
      <w:proofErr w:type="spellStart"/>
      <w:r w:rsidRPr="00592D02">
        <w:rPr>
          <w:rFonts w:ascii="Arial" w:hAnsi="Arial" w:hint="cs"/>
          <w:noProof w:val="0"/>
          <w:rtl/>
        </w:rPr>
        <w:t>לרישת</w:t>
      </w:r>
      <w:proofErr w:type="spellEnd"/>
      <w:r w:rsidRPr="00592D02">
        <w:rPr>
          <w:rFonts w:ascii="Arial" w:hAnsi="Arial" w:hint="cs"/>
          <w:noProof w:val="0"/>
          <w:rtl/>
        </w:rPr>
        <w:t xml:space="preserve"> ההחלטה מיום 08.08.2023 כי אם לסיפא שלה, ועל פניו נראה, כי מדובר בטעות חישוב</w:t>
      </w:r>
      <w:r>
        <w:rPr>
          <w:rFonts w:ascii="Arial" w:hAnsi="Arial" w:hint="cs"/>
          <w:noProof w:val="0"/>
          <w:rtl/>
        </w:rPr>
        <w:t xml:space="preserve"> של בית המשפט קמא, אשר הפכה טעות נגררת, משהוא שב עליה בהחלטתו מיום 23.10.2023.</w:t>
      </w:r>
    </w:p>
    <w:p w:rsidR="004B0B88" w:rsidRPr="00592D02" w:rsidRDefault="004B0B88" w:rsidP="004B0B88">
      <w:pPr>
        <w:pStyle w:val="a4"/>
        <w:spacing w:line="360" w:lineRule="auto"/>
        <w:ind w:left="786"/>
        <w:jc w:val="both"/>
        <w:rPr>
          <w:rFonts w:ascii="Arial" w:hAnsi="Arial"/>
          <w:noProof w:val="0"/>
        </w:rPr>
      </w:pPr>
      <w:r w:rsidRPr="00592D02">
        <w:rPr>
          <w:rFonts w:ascii="Arial" w:hAnsi="Arial" w:hint="cs"/>
          <w:noProof w:val="0"/>
          <w:rtl/>
        </w:rPr>
        <w:t xml:space="preserve">  </w:t>
      </w:r>
    </w:p>
    <w:p w:rsidR="004B0B88" w:rsidRDefault="004B0B88" w:rsidP="004B0B88">
      <w:pPr>
        <w:pStyle w:val="a4"/>
        <w:numPr>
          <w:ilvl w:val="0"/>
          <w:numId w:val="1"/>
        </w:numPr>
        <w:spacing w:line="360" w:lineRule="auto"/>
        <w:jc w:val="both"/>
        <w:rPr>
          <w:rFonts w:ascii="Arial" w:hAnsi="Arial"/>
          <w:noProof w:val="0"/>
        </w:rPr>
      </w:pPr>
      <w:r>
        <w:rPr>
          <w:rFonts w:ascii="Arial" w:hAnsi="Arial" w:hint="cs"/>
          <w:noProof w:val="0"/>
          <w:rtl/>
        </w:rPr>
        <w:t xml:space="preserve">ודוק, נראה כי </w:t>
      </w:r>
      <w:proofErr w:type="spellStart"/>
      <w:r>
        <w:rPr>
          <w:rFonts w:ascii="Arial" w:hAnsi="Arial" w:hint="cs"/>
          <w:noProof w:val="0"/>
          <w:rtl/>
        </w:rPr>
        <w:t>מרישת</w:t>
      </w:r>
      <w:proofErr w:type="spellEnd"/>
      <w:r>
        <w:rPr>
          <w:rFonts w:ascii="Arial" w:hAnsi="Arial" w:hint="cs"/>
          <w:noProof w:val="0"/>
          <w:rtl/>
        </w:rPr>
        <w:t xml:space="preserve"> ההחלטה מיום 08.08.2023 עולה, ששכר טרחת מנהלי העיזבון הועמד על 4%, אלא שבית המשפט לא ביאר שיטת החישוב שלו ולא נימק כיצד מצא ששליש משכר הטרחה שנפסק למנהלי העיזבון עומד על 1,513 ₪.</w:t>
      </w:r>
    </w:p>
    <w:p w:rsidR="004B0B88" w:rsidRPr="00592D02" w:rsidRDefault="004B0B88" w:rsidP="004B0B88">
      <w:pPr>
        <w:pStyle w:val="a4"/>
        <w:rPr>
          <w:rFonts w:ascii="Arial" w:hAnsi="Arial"/>
          <w:noProof w:val="0"/>
          <w:rtl/>
        </w:rPr>
      </w:pPr>
    </w:p>
    <w:p w:rsidR="004B0B88" w:rsidRDefault="004B0B88" w:rsidP="004B0B88">
      <w:pPr>
        <w:pStyle w:val="a4"/>
        <w:numPr>
          <w:ilvl w:val="0"/>
          <w:numId w:val="1"/>
        </w:numPr>
        <w:spacing w:line="360" w:lineRule="auto"/>
        <w:jc w:val="both"/>
        <w:rPr>
          <w:rFonts w:ascii="Arial" w:hAnsi="Arial"/>
          <w:noProof w:val="0"/>
        </w:rPr>
      </w:pPr>
      <w:r w:rsidRPr="00592D02">
        <w:rPr>
          <w:rFonts w:ascii="Arial" w:hAnsi="Arial" w:hint="cs"/>
          <w:noProof w:val="0"/>
          <w:rtl/>
        </w:rPr>
        <w:t>לית מאן דפליג, כי היקף עבודתם של מנהלי העיזבון במקרה דנא היה נרחב, מסועף ומורכב. מעיון בתיק המתנהל בבית המשפט קמא עולה, כי הוא חריג בהיקפו, מתנהל לאורך שנים ארוכות, הוגשו בו מאות כתבי בי דין, ניתנו במסגרתו למעלה מ-130 החלטות, הליך המכירה של הנכס כרוך היה בקשיים</w:t>
      </w:r>
      <w:r>
        <w:rPr>
          <w:rFonts w:ascii="Arial" w:hAnsi="Arial" w:hint="cs"/>
          <w:noProof w:val="0"/>
          <w:rtl/>
        </w:rPr>
        <w:t xml:space="preserve">, בפרט בכל הכרוך בפינוי המשיבה 1 ממנו, הוא </w:t>
      </w:r>
      <w:r>
        <w:rPr>
          <w:rFonts w:ascii="Arial" w:hAnsi="Arial" w:hint="cs"/>
          <w:noProof w:val="0"/>
          <w:rtl/>
        </w:rPr>
        <w:lastRenderedPageBreak/>
        <w:t xml:space="preserve">עוכב משמעותית, ובנוסף לכל זאת </w:t>
      </w:r>
      <w:r w:rsidRPr="00592D02">
        <w:rPr>
          <w:rFonts w:ascii="Arial" w:hAnsi="Arial" w:hint="cs"/>
          <w:noProof w:val="0"/>
          <w:rtl/>
        </w:rPr>
        <w:t xml:space="preserve">שני הליכי ערעור </w:t>
      </w:r>
      <w:r>
        <w:rPr>
          <w:rFonts w:ascii="Arial" w:hAnsi="Arial" w:hint="cs"/>
          <w:noProof w:val="0"/>
          <w:rtl/>
        </w:rPr>
        <w:t xml:space="preserve">התקיימו </w:t>
      </w:r>
      <w:r w:rsidRPr="00592D02">
        <w:rPr>
          <w:rFonts w:ascii="Arial" w:hAnsi="Arial" w:hint="cs"/>
          <w:noProof w:val="0"/>
          <w:rtl/>
        </w:rPr>
        <w:t xml:space="preserve">בבית משפט זה </w:t>
      </w:r>
      <w:r>
        <w:rPr>
          <w:rFonts w:ascii="Arial" w:hAnsi="Arial" w:hint="cs"/>
          <w:noProof w:val="0"/>
          <w:rtl/>
        </w:rPr>
        <w:t>תוך כדי ניהול ההליך</w:t>
      </w:r>
      <w:r w:rsidR="008D4DBB">
        <w:rPr>
          <w:rFonts w:ascii="Arial" w:hAnsi="Arial" w:hint="cs"/>
          <w:noProof w:val="0"/>
          <w:rtl/>
        </w:rPr>
        <w:t>,</w:t>
      </w:r>
      <w:r>
        <w:rPr>
          <w:rFonts w:ascii="Arial" w:hAnsi="Arial" w:hint="cs"/>
          <w:noProof w:val="0"/>
          <w:rtl/>
        </w:rPr>
        <w:t xml:space="preserve"> ובתוך כך גם מספר לא מבוטל של ד</w:t>
      </w:r>
      <w:r w:rsidRPr="00592D02">
        <w:rPr>
          <w:rFonts w:ascii="Arial" w:hAnsi="Arial" w:hint="cs"/>
          <w:noProof w:val="0"/>
          <w:rtl/>
        </w:rPr>
        <w:t xml:space="preserve">יונים בשתי הערכאות.   </w:t>
      </w:r>
    </w:p>
    <w:p w:rsidR="004B0B88" w:rsidRPr="00592D02" w:rsidRDefault="004B0B88" w:rsidP="004B0B88">
      <w:pPr>
        <w:pStyle w:val="a4"/>
        <w:rPr>
          <w:rFonts w:ascii="Arial" w:hAnsi="Arial"/>
          <w:noProof w:val="0"/>
          <w:rtl/>
        </w:rPr>
      </w:pPr>
    </w:p>
    <w:p w:rsidR="004B0B88" w:rsidRDefault="004B0B88" w:rsidP="004B0B88">
      <w:pPr>
        <w:pStyle w:val="a4"/>
        <w:spacing w:line="360" w:lineRule="auto"/>
        <w:ind w:left="786"/>
        <w:jc w:val="both"/>
        <w:rPr>
          <w:rFonts w:ascii="Arial" w:hAnsi="Arial"/>
          <w:noProof w:val="0"/>
          <w:rtl/>
        </w:rPr>
      </w:pPr>
      <w:r>
        <w:rPr>
          <w:rFonts w:ascii="Arial" w:hAnsi="Arial" w:hint="cs"/>
          <w:noProof w:val="0"/>
          <w:rtl/>
        </w:rPr>
        <w:t>בנסיבות אלו נהיר, כי פסיקת שכר טרחה למנהלי העיזבון בסכום כולל של כ-4,500 ₪ הוא בלתי הגיוני ובלתי צודק בעליל.</w:t>
      </w:r>
    </w:p>
    <w:p w:rsidR="004B0B88" w:rsidRPr="00592D02" w:rsidRDefault="004B0B88" w:rsidP="004B0B88">
      <w:pPr>
        <w:pStyle w:val="a4"/>
        <w:spacing w:line="360" w:lineRule="auto"/>
        <w:ind w:left="786"/>
        <w:jc w:val="both"/>
        <w:rPr>
          <w:rFonts w:ascii="Arial" w:hAnsi="Arial"/>
          <w:noProof w:val="0"/>
          <w:rtl/>
        </w:rPr>
      </w:pPr>
    </w:p>
    <w:p w:rsidR="004B0B88" w:rsidRDefault="004B0B88" w:rsidP="004B0B88">
      <w:pPr>
        <w:pStyle w:val="a4"/>
        <w:numPr>
          <w:ilvl w:val="0"/>
          <w:numId w:val="1"/>
        </w:numPr>
        <w:spacing w:line="360" w:lineRule="auto"/>
        <w:jc w:val="both"/>
        <w:rPr>
          <w:rFonts w:ascii="Arial" w:hAnsi="Arial"/>
          <w:noProof w:val="0"/>
        </w:rPr>
      </w:pPr>
      <w:r>
        <w:rPr>
          <w:rFonts w:ascii="Arial" w:hAnsi="Arial" w:hint="cs"/>
          <w:noProof w:val="0"/>
          <w:rtl/>
        </w:rPr>
        <w:t xml:space="preserve">מנהלי העיזבון אמנם עתרו לפסיקת שכר בגין מאמץ מיוחד אלא שלא ניתנה החלטה בעניין. </w:t>
      </w:r>
    </w:p>
    <w:p w:rsidR="004B0B88" w:rsidRPr="00C62C6E" w:rsidRDefault="004B0B88" w:rsidP="004B0B88">
      <w:pPr>
        <w:pStyle w:val="a4"/>
        <w:rPr>
          <w:rFonts w:ascii="Arial" w:hAnsi="Arial"/>
          <w:noProof w:val="0"/>
          <w:rtl/>
        </w:rPr>
      </w:pPr>
    </w:p>
    <w:p w:rsidR="004B0B88" w:rsidRDefault="004B0B88" w:rsidP="004B0B88">
      <w:pPr>
        <w:pStyle w:val="a4"/>
        <w:numPr>
          <w:ilvl w:val="0"/>
          <w:numId w:val="1"/>
        </w:numPr>
        <w:spacing w:line="360" w:lineRule="auto"/>
        <w:jc w:val="both"/>
        <w:rPr>
          <w:rFonts w:ascii="Arial" w:hAnsi="Arial"/>
          <w:noProof w:val="0"/>
        </w:rPr>
      </w:pPr>
      <w:r w:rsidRPr="00592D02">
        <w:rPr>
          <w:rFonts w:ascii="Arial" w:hAnsi="Arial" w:hint="cs"/>
          <w:noProof w:val="0"/>
          <w:rtl/>
        </w:rPr>
        <w:t xml:space="preserve">על יסוד האמור לעיל באתי למסקנה, כי יש </w:t>
      </w:r>
      <w:r>
        <w:rPr>
          <w:rFonts w:ascii="Arial" w:hAnsi="Arial" w:hint="cs"/>
          <w:noProof w:val="0"/>
          <w:rtl/>
        </w:rPr>
        <w:t>לבטל רכיב ההחלטה בעניין גובה שכר טרחת מנהלי העיזבון באשר נפסק ו</w:t>
      </w:r>
      <w:r w:rsidRPr="00592D02">
        <w:rPr>
          <w:rFonts w:ascii="Arial" w:hAnsi="Arial" w:hint="cs"/>
          <w:noProof w:val="0"/>
          <w:rtl/>
        </w:rPr>
        <w:t>להשיב ההליך לבית המשפט קמא על מנת שיקבע אחת משתיים: ככל שכוונתו הייתה כי מנהלי העיזבון זכאים לשכר טרחה בשיעור המקסימלי</w:t>
      </w:r>
      <w:r>
        <w:rPr>
          <w:rFonts w:ascii="Arial" w:hAnsi="Arial" w:hint="cs"/>
          <w:noProof w:val="0"/>
          <w:rtl/>
        </w:rPr>
        <w:t>,</w:t>
      </w:r>
      <w:r w:rsidRPr="00592D02">
        <w:rPr>
          <w:rFonts w:ascii="Arial" w:hAnsi="Arial" w:hint="cs"/>
          <w:noProof w:val="0"/>
          <w:rtl/>
        </w:rPr>
        <w:t xml:space="preserve"> הכולל גם תשלום עבור מאמץ מיוחד ועומד על 4% משווי העיזבון, יבצע החישוב הנכון ויבהיר הסכום לו הם זכאים תוך מתן הוראות מתאימות; ככל שכוונתו  הייתה לפסיקת שכרם בשיעור אחר, </w:t>
      </w:r>
      <w:r>
        <w:rPr>
          <w:rFonts w:ascii="Arial" w:hAnsi="Arial" w:hint="cs"/>
          <w:noProof w:val="0"/>
          <w:rtl/>
        </w:rPr>
        <w:t xml:space="preserve">יידרש לבקשת מנהלי העיזבון, </w:t>
      </w:r>
      <w:r w:rsidRPr="00592D02">
        <w:rPr>
          <w:rFonts w:ascii="Arial" w:hAnsi="Arial" w:hint="cs"/>
          <w:noProof w:val="0"/>
          <w:rtl/>
        </w:rPr>
        <w:t xml:space="preserve">ייתן החלטה מתאימה ומנומקת המלווה גם בתחשיב עליו היא מבוססת </w:t>
      </w:r>
      <w:r w:rsidRPr="00592D02">
        <w:rPr>
          <w:rFonts w:ascii="Arial" w:hAnsi="Arial"/>
          <w:noProof w:val="0"/>
          <w:rtl/>
        </w:rPr>
        <w:t>–</w:t>
      </w:r>
      <w:r w:rsidRPr="00592D02">
        <w:rPr>
          <w:rFonts w:ascii="Arial" w:hAnsi="Arial" w:hint="cs"/>
          <w:noProof w:val="0"/>
          <w:rtl/>
        </w:rPr>
        <w:t xml:space="preserve"> </w:t>
      </w:r>
      <w:proofErr w:type="spellStart"/>
      <w:r w:rsidRPr="00592D02">
        <w:rPr>
          <w:rFonts w:ascii="Arial" w:hAnsi="Arial" w:hint="cs"/>
          <w:noProof w:val="0"/>
          <w:rtl/>
        </w:rPr>
        <w:t>הכל</w:t>
      </w:r>
      <w:proofErr w:type="spellEnd"/>
      <w:r w:rsidRPr="00592D02">
        <w:rPr>
          <w:rFonts w:ascii="Arial" w:hAnsi="Arial" w:hint="cs"/>
          <w:noProof w:val="0"/>
          <w:rtl/>
        </w:rPr>
        <w:t xml:space="preserve"> בהתאם לשיקול דעתו</w:t>
      </w:r>
      <w:r>
        <w:rPr>
          <w:rFonts w:ascii="Arial" w:hAnsi="Arial" w:hint="cs"/>
          <w:noProof w:val="0"/>
          <w:rtl/>
        </w:rPr>
        <w:t>.</w:t>
      </w:r>
    </w:p>
    <w:p w:rsidR="004B0B88" w:rsidRPr="003D19F4" w:rsidRDefault="004B0B88" w:rsidP="004B0B88">
      <w:pPr>
        <w:pStyle w:val="a4"/>
        <w:rPr>
          <w:rFonts w:ascii="Arial" w:hAnsi="Arial"/>
          <w:noProof w:val="0"/>
          <w:rtl/>
        </w:rPr>
      </w:pPr>
    </w:p>
    <w:p w:rsidR="004B0B88" w:rsidRDefault="004B0B88" w:rsidP="004B0B88">
      <w:pPr>
        <w:pStyle w:val="a4"/>
        <w:numPr>
          <w:ilvl w:val="0"/>
          <w:numId w:val="1"/>
        </w:numPr>
        <w:spacing w:line="360" w:lineRule="auto"/>
        <w:jc w:val="both"/>
        <w:rPr>
          <w:rFonts w:ascii="Arial" w:hAnsi="Arial"/>
          <w:noProof w:val="0"/>
        </w:rPr>
      </w:pPr>
      <w:r>
        <w:rPr>
          <w:rFonts w:ascii="Arial" w:hAnsi="Arial" w:hint="cs"/>
          <w:noProof w:val="0"/>
          <w:rtl/>
        </w:rPr>
        <w:t xml:space="preserve">בראי כלל הנסיבות, בהעדר תגובה מטעם המשיבים או מי מהם ונוכח התוצאה אליה הגעתי, איני עושה צו להוצאות וכל צד יישא בהוצאותיו. העירבון שהופקד, על פירותיו, יושב לידי המבקשים. </w:t>
      </w:r>
    </w:p>
    <w:p w:rsidR="004B0B88" w:rsidRPr="008E1F43" w:rsidRDefault="004B0B88" w:rsidP="004B0B88">
      <w:pPr>
        <w:pStyle w:val="a4"/>
        <w:rPr>
          <w:rFonts w:ascii="Arial" w:hAnsi="Arial"/>
          <w:noProof w:val="0"/>
          <w:rtl/>
        </w:rPr>
      </w:pPr>
    </w:p>
    <w:p w:rsidR="004B0B88" w:rsidRDefault="004B0B88" w:rsidP="004B0B88">
      <w:pPr>
        <w:pStyle w:val="a4"/>
        <w:numPr>
          <w:ilvl w:val="0"/>
          <w:numId w:val="1"/>
        </w:numPr>
        <w:spacing w:line="360" w:lineRule="auto"/>
        <w:jc w:val="both"/>
        <w:rPr>
          <w:rFonts w:ascii="Arial" w:hAnsi="Arial"/>
          <w:noProof w:val="0"/>
        </w:rPr>
      </w:pPr>
      <w:r>
        <w:rPr>
          <w:rFonts w:ascii="Arial" w:hAnsi="Arial"/>
          <w:noProof w:val="0"/>
          <w:rtl/>
        </w:rPr>
        <w:t>המזכירות תסגור התיק ותמציא ההחלטה לצדדים.</w:t>
      </w:r>
    </w:p>
    <w:p w:rsidR="004B0B88" w:rsidRDefault="004B0B88" w:rsidP="004B0B88">
      <w:pPr>
        <w:pStyle w:val="a4"/>
        <w:rPr>
          <w:rFonts w:ascii="Arial" w:hAnsi="Arial"/>
          <w:noProof w:val="0"/>
        </w:rPr>
      </w:pPr>
    </w:p>
    <w:p w:rsidR="004B0B88" w:rsidRDefault="004B0B88" w:rsidP="004B0B88">
      <w:pPr>
        <w:pStyle w:val="a4"/>
        <w:numPr>
          <w:ilvl w:val="0"/>
          <w:numId w:val="1"/>
        </w:numPr>
        <w:spacing w:line="360" w:lineRule="auto"/>
        <w:jc w:val="both"/>
        <w:rPr>
          <w:rFonts w:ascii="Arial" w:hAnsi="Arial"/>
          <w:noProof w:val="0"/>
          <w:rtl/>
        </w:rPr>
      </w:pPr>
      <w:r>
        <w:rPr>
          <w:rFonts w:ascii="Arial" w:hAnsi="Arial"/>
          <w:noProof w:val="0"/>
          <w:rtl/>
        </w:rPr>
        <w:t>החלטה זו ניתנת לפרסום תוך השמטת שמות הצדדים ופרטים מזהים נוספים.</w:t>
      </w:r>
    </w:p>
    <w:p w:rsidR="004B0B88" w:rsidRDefault="004B0B88" w:rsidP="004B0B88">
      <w:pPr>
        <w:pStyle w:val="a4"/>
        <w:spacing w:line="360" w:lineRule="auto"/>
        <w:ind w:left="786"/>
        <w:jc w:val="both"/>
        <w:rPr>
          <w:rFonts w:ascii="Arial" w:hAnsi="Arial"/>
          <w:noProof w:val="0"/>
        </w:rPr>
      </w:pPr>
      <w:r>
        <w:rPr>
          <w:rFonts w:ascii="Arial" w:hAnsi="Arial" w:hint="cs"/>
          <w:noProof w:val="0"/>
          <w:rtl/>
        </w:rPr>
        <w:t xml:space="preserve">    </w:t>
      </w:r>
    </w:p>
    <w:p w:rsidR="004B0B88" w:rsidRDefault="004B0B88" w:rsidP="004B0B88">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טבת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דצמבר 2023</w:t>
          </w:r>
        </w:sdtContent>
      </w:sdt>
      <w:r>
        <w:rPr>
          <w:rFonts w:ascii="Arial" w:hAnsi="Arial"/>
          <w:noProof w:val="0"/>
          <w:rtl/>
        </w:rPr>
        <w:t>, בהעדר הצדדים.</w:t>
      </w:r>
    </w:p>
    <w:p w:rsidR="004B0B88" w:rsidRDefault="00B43124" w:rsidP="004B0B88">
      <w:pPr>
        <w:tabs>
          <w:tab w:val="left" w:pos="2553"/>
        </w:tabs>
        <w:ind w:left="5040"/>
        <w:rPr>
          <w:rtl/>
        </w:rPr>
      </w:pPr>
      <w:sdt>
        <w:sdtPr>
          <w:rPr>
            <w:rFonts w:hint="cs"/>
            <w:rtl/>
          </w:rPr>
          <w:alias w:val="2045"/>
          <w:tag w:val="2045"/>
          <w:id w:val="740689340"/>
          <w:placeholder>
            <w:docPart w:val="663D399DF13F47568D6C267BDC544709"/>
          </w:placeholder>
          <w:showingPlcHdr/>
          <w:text w:multiLine="1"/>
        </w:sdtPr>
        <w:sdtEndPr/>
        <w:sdtContent>
          <w:r w:rsidR="004B0B88">
            <w:rPr>
              <w:rFonts w:hint="cs"/>
              <w:rtl/>
            </w:rPr>
            <w:t xml:space="preserve">     </w:t>
          </w:r>
        </w:sdtContent>
      </w:sdt>
    </w:p>
    <w:p w:rsidR="004B0B88" w:rsidRDefault="004B0B88" w:rsidP="004B0B88">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88028599"/>
        </w:sdtPr>
        <w:sdtEndPr/>
        <w:sdtContent>
          <w:r>
            <w:drawing>
              <wp:inline distT="0" distB="0" distL="0" distR="0" wp14:anchorId="1C89D96D" wp14:editId="6F66ECFB">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66875" cy="1047750"/>
                        </a:xfrm>
                        <a:prstGeom prst="rect">
                          <a:avLst/>
                        </a:prstGeom>
                      </pic:spPr>
                    </pic:pic>
                  </a:graphicData>
                </a:graphic>
              </wp:inline>
            </w:drawing>
          </w:r>
        </w:sdtContent>
      </w:sdt>
    </w:p>
    <w:p w:rsidR="004B0B88" w:rsidRDefault="004B0B88" w:rsidP="004B0B88">
      <w:pPr>
        <w:tabs>
          <w:tab w:val="left" w:pos="2553"/>
        </w:tabs>
        <w:rPr>
          <w:rFonts w:ascii="Arial" w:hAnsi="Arial"/>
          <w:noProof w:val="0"/>
          <w:rtl/>
        </w:rPr>
      </w:pPr>
    </w:p>
    <w:p w:rsidR="004A0AAC" w:rsidRDefault="004A0AAC"/>
    <w:sectPr w:rsidR="004A0AAC" w:rsidSect="00897C85">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124" w:rsidRDefault="00B43124" w:rsidP="008D4DBB">
      <w:r>
        <w:separator/>
      </w:r>
    </w:p>
  </w:endnote>
  <w:endnote w:type="continuationSeparator" w:id="0">
    <w:p w:rsidR="00B43124" w:rsidRDefault="00B43124" w:rsidP="008D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124" w:rsidRDefault="00B43124" w:rsidP="008D4DBB">
      <w:r>
        <w:separator/>
      </w:r>
    </w:p>
  </w:footnote>
  <w:footnote w:type="continuationSeparator" w:id="0">
    <w:p w:rsidR="00B43124" w:rsidRDefault="00B43124" w:rsidP="008D4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DBB" w:rsidRDefault="008D4DBB" w:rsidP="008D4DBB">
    <w:pPr>
      <w:pStyle w:val="a5"/>
      <w:jc w:val="center"/>
      <w:rPr>
        <w:rtl/>
      </w:rPr>
    </w:pPr>
    <w:r>
      <w:rPr>
        <w:rFonts w:cs="FrankRuehl"/>
        <w:sz w:val="28"/>
        <w:szCs w:val="28"/>
      </w:rPr>
      <w:drawing>
        <wp:inline distT="0" distB="0" distL="0" distR="0" wp14:anchorId="5F2BF523" wp14:editId="3468379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p w:rsidR="008D4DBB" w:rsidRDefault="008D4DBB">
    <w:pPr>
      <w:pStyle w:val="a5"/>
      <w:rPr>
        <w:rtl/>
      </w:rPr>
    </w:pPr>
  </w:p>
  <w:sdt>
    <w:sdtPr>
      <w:rPr>
        <w:rFonts w:ascii="Tahoma" w:hAnsi="Tahoma"/>
        <w:color w:val="000080"/>
        <w:sz w:val="32"/>
        <w:szCs w:val="32"/>
        <w:rtl/>
      </w:rPr>
      <w:alias w:val="1174"/>
      <w:tag w:val="1174"/>
      <w:id w:val="-1585920285"/>
      <w:text w:multiLine="1"/>
    </w:sdtPr>
    <w:sdtEndPr/>
    <w:sdtContent>
      <w:p w:rsidR="008D4DBB" w:rsidRDefault="008D4DBB" w:rsidP="008D4DBB">
        <w:pPr>
          <w:pStyle w:val="a5"/>
          <w:jc w:val="center"/>
          <w:rPr>
            <w:rtl/>
          </w:rPr>
        </w:pPr>
        <w:r w:rsidRPr="00F038D8">
          <w:rPr>
            <w:rFonts w:ascii="Tahoma" w:hAnsi="Tahoma"/>
            <w:color w:val="000080"/>
            <w:sz w:val="32"/>
            <w:szCs w:val="32"/>
            <w:rtl/>
          </w:rPr>
          <w:t>בית המשפט המחוזי בבאר שבע</w:t>
        </w:r>
      </w:p>
    </w:sdtContent>
  </w:sdt>
  <w:p w:rsidR="008D4DBB" w:rsidRDefault="008D4DBB">
    <w:pPr>
      <w:pStyle w:val="a5"/>
      <w:rPr>
        <w:rtl/>
      </w:rPr>
    </w:pPr>
  </w:p>
  <w:p w:rsidR="008D4DBB" w:rsidRDefault="008D4DBB">
    <w:pPr>
      <w:pStyle w:val="a5"/>
      <w:rPr>
        <w:rtl/>
      </w:rPr>
    </w:pPr>
  </w:p>
  <w:p w:rsidR="008D4DBB" w:rsidRDefault="008D4DBB" w:rsidP="008D4DBB">
    <w:pPr>
      <w:pStyle w:val="a5"/>
      <w:tabs>
        <w:tab w:val="clear" w:pos="4153"/>
        <w:tab w:val="clear" w:pos="8306"/>
        <w:tab w:val="left" w:pos="2936"/>
      </w:tabs>
    </w:pPr>
    <w:r>
      <w:rPr>
        <w:rtl/>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E6D6C"/>
    <w:multiLevelType w:val="hybridMultilevel"/>
    <w:tmpl w:val="95B00974"/>
    <w:lvl w:ilvl="0" w:tplc="0F826430">
      <w:start w:val="1"/>
      <w:numFmt w:val="decimal"/>
      <w:lvlText w:val="%1."/>
      <w:lvlJc w:val="left"/>
      <w:pPr>
        <w:ind w:left="786" w:hanging="360"/>
      </w:pPr>
      <w:rPr>
        <w:b w:val="0"/>
        <w:bCs w:val="0"/>
        <w:sz w:val="24"/>
        <w:szCs w:val="24"/>
      </w:rPr>
    </w:lvl>
    <w:lvl w:ilvl="1" w:tplc="04090019">
      <w:start w:val="1"/>
      <w:numFmt w:val="lowerLetter"/>
      <w:lvlText w:val="%2."/>
      <w:lvlJc w:val="left"/>
      <w:pPr>
        <w:ind w:left="3070" w:hanging="360"/>
      </w:pPr>
    </w:lvl>
    <w:lvl w:ilvl="2" w:tplc="0409001B">
      <w:start w:val="1"/>
      <w:numFmt w:val="lowerRoman"/>
      <w:lvlText w:val="%3."/>
      <w:lvlJc w:val="right"/>
      <w:pPr>
        <w:ind w:left="3790" w:hanging="180"/>
      </w:pPr>
    </w:lvl>
    <w:lvl w:ilvl="3" w:tplc="0409000F">
      <w:start w:val="1"/>
      <w:numFmt w:val="decimal"/>
      <w:lvlText w:val="%4."/>
      <w:lvlJc w:val="left"/>
      <w:pPr>
        <w:ind w:left="4510" w:hanging="360"/>
      </w:pPr>
    </w:lvl>
    <w:lvl w:ilvl="4" w:tplc="04090019">
      <w:start w:val="1"/>
      <w:numFmt w:val="lowerLetter"/>
      <w:lvlText w:val="%5."/>
      <w:lvlJc w:val="left"/>
      <w:pPr>
        <w:ind w:left="5230" w:hanging="360"/>
      </w:pPr>
    </w:lvl>
    <w:lvl w:ilvl="5" w:tplc="0409001B">
      <w:start w:val="1"/>
      <w:numFmt w:val="lowerRoman"/>
      <w:lvlText w:val="%6."/>
      <w:lvlJc w:val="right"/>
      <w:pPr>
        <w:ind w:left="5950" w:hanging="180"/>
      </w:pPr>
    </w:lvl>
    <w:lvl w:ilvl="6" w:tplc="0409000F">
      <w:start w:val="1"/>
      <w:numFmt w:val="decimal"/>
      <w:lvlText w:val="%7."/>
      <w:lvlJc w:val="left"/>
      <w:pPr>
        <w:ind w:left="6670" w:hanging="360"/>
      </w:pPr>
    </w:lvl>
    <w:lvl w:ilvl="7" w:tplc="04090019">
      <w:start w:val="1"/>
      <w:numFmt w:val="lowerLetter"/>
      <w:lvlText w:val="%8."/>
      <w:lvlJc w:val="left"/>
      <w:pPr>
        <w:ind w:left="7390" w:hanging="360"/>
      </w:pPr>
    </w:lvl>
    <w:lvl w:ilvl="8" w:tplc="0409001B">
      <w:start w:val="1"/>
      <w:numFmt w:val="lowerRoman"/>
      <w:lvlText w:val="%9."/>
      <w:lvlJc w:val="right"/>
      <w:pPr>
        <w:ind w:left="8110" w:hanging="180"/>
      </w:pPr>
    </w:lvl>
  </w:abstractNum>
  <w:abstractNum w:abstractNumId="1" w15:restartNumberingAfterBreak="0">
    <w:nsid w:val="6AC268DF"/>
    <w:multiLevelType w:val="hybridMultilevel"/>
    <w:tmpl w:val="89A876A6"/>
    <w:lvl w:ilvl="0" w:tplc="FD28B50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B88"/>
    <w:rsid w:val="00030969"/>
    <w:rsid w:val="004A0AAC"/>
    <w:rsid w:val="004B0B88"/>
    <w:rsid w:val="005856B2"/>
    <w:rsid w:val="00897C85"/>
    <w:rsid w:val="008D4DBB"/>
    <w:rsid w:val="00A22668"/>
    <w:rsid w:val="00B4312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3E1B34-F1B9-4FDA-A668-11F797EB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0B88"/>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B0B8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B0B88"/>
    <w:pPr>
      <w:ind w:left="720"/>
      <w:contextualSpacing/>
    </w:pPr>
  </w:style>
  <w:style w:type="paragraph" w:styleId="a5">
    <w:name w:val="header"/>
    <w:basedOn w:val="a"/>
    <w:link w:val="a6"/>
    <w:uiPriority w:val="99"/>
    <w:unhideWhenUsed/>
    <w:rsid w:val="008D4DBB"/>
    <w:pPr>
      <w:tabs>
        <w:tab w:val="center" w:pos="4153"/>
        <w:tab w:val="right" w:pos="8306"/>
      </w:tabs>
    </w:pPr>
  </w:style>
  <w:style w:type="character" w:customStyle="1" w:styleId="a6">
    <w:name w:val="כותרת עליונה תו"/>
    <w:basedOn w:val="a0"/>
    <w:link w:val="a5"/>
    <w:uiPriority w:val="99"/>
    <w:rsid w:val="008D4DBB"/>
    <w:rPr>
      <w:rFonts w:ascii="Times New Roman" w:eastAsia="Times New Roman" w:hAnsi="Times New Roman" w:cs="David"/>
      <w:noProof/>
      <w:sz w:val="24"/>
      <w:szCs w:val="24"/>
    </w:rPr>
  </w:style>
  <w:style w:type="paragraph" w:styleId="a7">
    <w:name w:val="footer"/>
    <w:basedOn w:val="a"/>
    <w:link w:val="a8"/>
    <w:uiPriority w:val="99"/>
    <w:unhideWhenUsed/>
    <w:rsid w:val="008D4DBB"/>
    <w:pPr>
      <w:tabs>
        <w:tab w:val="center" w:pos="4153"/>
        <w:tab w:val="right" w:pos="8306"/>
      </w:tabs>
    </w:pPr>
  </w:style>
  <w:style w:type="character" w:customStyle="1" w:styleId="a8">
    <w:name w:val="כותרת תחתונה תו"/>
    <w:basedOn w:val="a0"/>
    <w:link w:val="a7"/>
    <w:uiPriority w:val="99"/>
    <w:rsid w:val="008D4DBB"/>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784E4FD75D0412FBFA365A438716C76"/>
        <w:category>
          <w:name w:val="כללי"/>
          <w:gallery w:val="placeholder"/>
        </w:category>
        <w:types>
          <w:type w:val="bbPlcHdr"/>
        </w:types>
        <w:behaviors>
          <w:behavior w:val="content"/>
        </w:behaviors>
        <w:guid w:val="{31E8FCF6-18E7-48CE-87B4-6351892DD664}"/>
      </w:docPartPr>
      <w:docPartBody>
        <w:p w:rsidR="007A1218" w:rsidRDefault="0003769F" w:rsidP="0003769F">
          <w:pPr>
            <w:pStyle w:val="A784E4FD75D0412FBFA365A438716C76"/>
          </w:pPr>
          <w:r w:rsidRPr="00CD516B">
            <w:rPr>
              <w:rFonts w:ascii="Arial" w:hAnsi="Arial"/>
              <w:b/>
              <w:bCs/>
              <w:sz w:val="26"/>
              <w:szCs w:val="26"/>
              <w:rtl/>
            </w:rPr>
            <w:t>שם צד א' ללא שם של חסוי</w:t>
          </w:r>
        </w:p>
      </w:docPartBody>
    </w:docPart>
    <w:docPart>
      <w:docPartPr>
        <w:name w:val="FFEF10EEA9014042A614A160E94C90CE"/>
        <w:category>
          <w:name w:val="כללי"/>
          <w:gallery w:val="placeholder"/>
        </w:category>
        <w:types>
          <w:type w:val="bbPlcHdr"/>
        </w:types>
        <w:behaviors>
          <w:behavior w:val="content"/>
        </w:behaviors>
        <w:guid w:val="{97F2D77D-D865-46F3-BF0C-65F1B513586C}"/>
      </w:docPartPr>
      <w:docPartBody>
        <w:p w:rsidR="007A1218" w:rsidRDefault="0003769F" w:rsidP="0003769F">
          <w:pPr>
            <w:pStyle w:val="FFEF10EEA9014042A614A160E94C90CE"/>
          </w:pPr>
          <w:r w:rsidRPr="00CD516B">
            <w:rPr>
              <w:rFonts w:ascii="Arial" w:hAnsi="Arial"/>
              <w:b/>
              <w:bCs/>
              <w:sz w:val="26"/>
              <w:szCs w:val="26"/>
              <w:rtl/>
            </w:rPr>
            <w:t>שם צד ב' ללא שם של חסוי</w:t>
          </w:r>
        </w:p>
      </w:docPartBody>
    </w:docPart>
    <w:docPart>
      <w:docPartPr>
        <w:name w:val="1E29C4BF7A10415D97708BF449F96E11"/>
        <w:category>
          <w:name w:val="כללי"/>
          <w:gallery w:val="placeholder"/>
        </w:category>
        <w:types>
          <w:type w:val="bbPlcHdr"/>
        </w:types>
        <w:behaviors>
          <w:behavior w:val="content"/>
        </w:behaviors>
        <w:guid w:val="{E8F5EB0A-8AD6-4732-8075-A0C1FC4DA9D2}"/>
      </w:docPartPr>
      <w:docPartBody>
        <w:p w:rsidR="007A1218" w:rsidRDefault="0003769F" w:rsidP="0003769F">
          <w:pPr>
            <w:pStyle w:val="1E29C4BF7A10415D97708BF449F96E11"/>
          </w:pPr>
          <w:r>
            <w:rPr>
              <w:rFonts w:ascii="Arial" w:hAnsi="Arial"/>
              <w:b/>
              <w:bCs/>
              <w:sz w:val="26"/>
              <w:szCs w:val="26"/>
              <w:rtl/>
            </w:rPr>
            <w:t>שם צד ב' ללא שם של חסוי</w:t>
          </w:r>
        </w:p>
      </w:docPartBody>
    </w:docPart>
    <w:docPart>
      <w:docPartPr>
        <w:name w:val="663D399DF13F47568D6C267BDC544709"/>
        <w:category>
          <w:name w:val="כללי"/>
          <w:gallery w:val="placeholder"/>
        </w:category>
        <w:types>
          <w:type w:val="bbPlcHdr"/>
        </w:types>
        <w:behaviors>
          <w:behavior w:val="content"/>
        </w:behaviors>
        <w:guid w:val="{3C6EFF46-C910-4CD5-80D5-6EFFE985CB21}"/>
      </w:docPartPr>
      <w:docPartBody>
        <w:p w:rsidR="007A1218" w:rsidRDefault="0003769F" w:rsidP="0003769F">
          <w:pPr>
            <w:pStyle w:val="663D399DF13F47568D6C267BDC544709"/>
          </w:pPr>
          <w:r>
            <w:rPr>
              <w:rFonts w:hint="cs"/>
              <w:rtl/>
            </w:rPr>
            <w:t xml:space="preserve">     </w:t>
          </w:r>
        </w:p>
      </w:docPartBody>
    </w:docPart>
    <w:docPart>
      <w:docPartPr>
        <w:name w:val="F6BC63E9609A4F62B1EC3206BF1A5894"/>
        <w:category>
          <w:name w:val="כללי"/>
          <w:gallery w:val="placeholder"/>
        </w:category>
        <w:types>
          <w:type w:val="bbPlcHdr"/>
        </w:types>
        <w:behaviors>
          <w:behavior w:val="content"/>
        </w:behaviors>
        <w:guid w:val="{03533973-F974-4506-A0D6-995C695B0B77}"/>
      </w:docPartPr>
      <w:docPartBody>
        <w:p w:rsidR="007A1218" w:rsidRDefault="0003769F" w:rsidP="0003769F">
          <w:pPr>
            <w:pStyle w:val="F6BC63E9609A4F62B1EC3206BF1A5894"/>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69F"/>
    <w:rsid w:val="0003769F"/>
    <w:rsid w:val="007A1218"/>
    <w:rsid w:val="00B80AE4"/>
    <w:rsid w:val="00BC3A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784E4FD75D0412FBFA365A438716C76">
    <w:name w:val="A784E4FD75D0412FBFA365A438716C76"/>
    <w:rsid w:val="0003769F"/>
    <w:pPr>
      <w:bidi/>
    </w:pPr>
  </w:style>
  <w:style w:type="paragraph" w:customStyle="1" w:styleId="FFEF10EEA9014042A614A160E94C90CE">
    <w:name w:val="FFEF10EEA9014042A614A160E94C90CE"/>
    <w:rsid w:val="0003769F"/>
    <w:pPr>
      <w:bidi/>
    </w:pPr>
  </w:style>
  <w:style w:type="paragraph" w:customStyle="1" w:styleId="1E29C4BF7A10415D97708BF449F96E11">
    <w:name w:val="1E29C4BF7A10415D97708BF449F96E11"/>
    <w:rsid w:val="0003769F"/>
    <w:pPr>
      <w:bidi/>
    </w:pPr>
  </w:style>
  <w:style w:type="paragraph" w:customStyle="1" w:styleId="663D399DF13F47568D6C267BDC544709">
    <w:name w:val="663D399DF13F47568D6C267BDC544709"/>
    <w:rsid w:val="0003769F"/>
    <w:pPr>
      <w:bidi/>
    </w:pPr>
  </w:style>
  <w:style w:type="paragraph" w:customStyle="1" w:styleId="F6BC63E9609A4F62B1EC3206BF1A5894">
    <w:name w:val="F6BC63E9609A4F62B1EC3206BF1A5894"/>
    <w:rsid w:val="0003769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2269</Words>
  <Characters>11346</Characters>
  <Application>Microsoft Office Word</Application>
  <DocSecurity>0</DocSecurity>
  <Lines>94</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פאני גילת כהן</dc:creator>
  <cp:keywords/>
  <dc:description/>
  <cp:lastModifiedBy>אסתר טטרואשילי</cp:lastModifiedBy>
  <cp:revision>2</cp:revision>
  <dcterms:created xsi:type="dcterms:W3CDTF">2023-12-27T13:01:00Z</dcterms:created>
  <dcterms:modified xsi:type="dcterms:W3CDTF">2023-12-27T13:01:00Z</dcterms:modified>
</cp:coreProperties>
</file>